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8C8" w:rsidRPr="008228C8" w:rsidRDefault="008228C8" w:rsidP="008228C8">
      <w:pPr>
        <w:rPr>
          <w:rFonts w:ascii="David" w:hAnsi="David"/>
          <w:bCs/>
          <w:sz w:val="28"/>
          <w:szCs w:val="28"/>
        </w:rPr>
      </w:pPr>
      <w:r w:rsidRPr="008228C8">
        <w:rPr>
          <w:rFonts w:ascii="David" w:hAnsi="David"/>
          <w:bCs/>
          <w:sz w:val="28"/>
          <w:szCs w:val="28"/>
          <w:rtl/>
        </w:rPr>
        <w:softHyphen/>
      </w:r>
      <w:r w:rsidRPr="008228C8">
        <w:rPr>
          <w:rFonts w:ascii="David" w:hAnsi="David"/>
          <w:bCs/>
          <w:sz w:val="28"/>
          <w:szCs w:val="28"/>
          <w:rtl/>
        </w:rPr>
        <w:softHyphen/>
        <w:t>לפני:</w:t>
      </w:r>
      <w:r w:rsidRPr="008228C8">
        <w:rPr>
          <w:rFonts w:ascii="David" w:hAnsi="David"/>
          <w:bCs/>
          <w:sz w:val="28"/>
          <w:szCs w:val="28"/>
          <w:rtl/>
        </w:rPr>
        <w:tab/>
      </w:r>
      <w:r w:rsidRPr="008228C8">
        <w:rPr>
          <w:rFonts w:ascii="David" w:hAnsi="David"/>
          <w:bCs/>
          <w:sz w:val="28"/>
          <w:szCs w:val="28"/>
          <w:rtl/>
        </w:rPr>
        <w:tab/>
      </w:r>
      <w:r w:rsidRPr="008228C8">
        <w:rPr>
          <w:rFonts w:ascii="David" w:hAnsi="David"/>
          <w:bCs/>
          <w:sz w:val="28"/>
          <w:szCs w:val="28"/>
          <w:rtl/>
        </w:rPr>
        <w:tab/>
      </w:r>
      <w:r w:rsidRPr="008228C8">
        <w:rPr>
          <w:rFonts w:ascii="David" w:hAnsi="David"/>
          <w:bCs/>
          <w:sz w:val="28"/>
          <w:szCs w:val="28"/>
          <w:rtl/>
        </w:rPr>
        <w:tab/>
        <w:t>כבוד השופט גיא אבנון</w:t>
      </w:r>
    </w:p>
    <w:p w:rsidR="008228C8" w:rsidRPr="008228C8" w:rsidRDefault="008228C8" w:rsidP="008228C8">
      <w:pPr>
        <w:rPr>
          <w:rFonts w:ascii="David" w:hAnsi="David"/>
          <w:bCs/>
          <w:sz w:val="28"/>
          <w:szCs w:val="28"/>
          <w:rtl/>
        </w:rPr>
      </w:pPr>
    </w:p>
    <w:p w:rsidR="008228C8" w:rsidRPr="008228C8" w:rsidRDefault="008228C8" w:rsidP="008228C8">
      <w:pPr>
        <w:rPr>
          <w:rFonts w:ascii="David" w:hAnsi="David"/>
          <w:bCs/>
          <w:sz w:val="28"/>
          <w:szCs w:val="28"/>
          <w:rtl/>
        </w:rPr>
      </w:pPr>
      <w:r w:rsidRPr="008228C8">
        <w:rPr>
          <w:rFonts w:ascii="David" w:hAnsi="David"/>
          <w:bCs/>
          <w:sz w:val="28"/>
          <w:szCs w:val="28"/>
          <w:rtl/>
        </w:rPr>
        <w:t>המאשימה:</w:t>
      </w:r>
      <w:r w:rsidRPr="008228C8">
        <w:rPr>
          <w:rFonts w:ascii="David" w:hAnsi="David"/>
          <w:bCs/>
          <w:sz w:val="28"/>
          <w:szCs w:val="28"/>
          <w:rtl/>
        </w:rPr>
        <w:tab/>
      </w:r>
      <w:r w:rsidRPr="008228C8">
        <w:rPr>
          <w:rFonts w:ascii="David" w:hAnsi="David"/>
          <w:bCs/>
          <w:sz w:val="28"/>
          <w:szCs w:val="28"/>
          <w:rtl/>
        </w:rPr>
        <w:tab/>
      </w:r>
      <w:r w:rsidRPr="008228C8">
        <w:rPr>
          <w:rFonts w:ascii="David" w:hAnsi="David"/>
          <w:bCs/>
          <w:sz w:val="28"/>
          <w:szCs w:val="28"/>
          <w:rtl/>
        </w:rPr>
        <w:tab/>
        <w:t>מדינת ישראל</w:t>
      </w:r>
    </w:p>
    <w:p w:rsidR="008228C8" w:rsidRPr="008228C8" w:rsidRDefault="008228C8" w:rsidP="008228C8">
      <w:pPr>
        <w:rPr>
          <w:rFonts w:ascii="David" w:hAnsi="David"/>
          <w:bCs/>
          <w:sz w:val="28"/>
          <w:szCs w:val="28"/>
          <w:rtl/>
        </w:rPr>
      </w:pPr>
      <w:r w:rsidRPr="008228C8">
        <w:rPr>
          <w:rFonts w:ascii="David" w:hAnsi="David"/>
          <w:bCs/>
          <w:sz w:val="28"/>
          <w:szCs w:val="28"/>
          <w:rtl/>
        </w:rPr>
        <w:tab/>
      </w:r>
      <w:r w:rsidRPr="008228C8">
        <w:rPr>
          <w:rFonts w:ascii="David" w:hAnsi="David"/>
          <w:bCs/>
          <w:sz w:val="28"/>
          <w:szCs w:val="28"/>
          <w:rtl/>
        </w:rPr>
        <w:tab/>
      </w:r>
      <w:r w:rsidRPr="008228C8">
        <w:rPr>
          <w:rFonts w:ascii="David" w:hAnsi="David"/>
          <w:bCs/>
          <w:sz w:val="28"/>
          <w:szCs w:val="28"/>
          <w:rtl/>
        </w:rPr>
        <w:tab/>
      </w:r>
      <w:r w:rsidRPr="008228C8">
        <w:rPr>
          <w:rFonts w:ascii="David" w:hAnsi="David"/>
          <w:bCs/>
          <w:sz w:val="28"/>
          <w:szCs w:val="28"/>
          <w:rtl/>
        </w:rPr>
        <w:tab/>
        <w:t>באמצעות תביעות משטרת ישראל</w:t>
      </w:r>
    </w:p>
    <w:p w:rsidR="008228C8" w:rsidRPr="008228C8" w:rsidRDefault="008228C8" w:rsidP="008228C8">
      <w:pPr>
        <w:rPr>
          <w:rFonts w:ascii="David" w:hAnsi="David"/>
          <w:bCs/>
          <w:sz w:val="28"/>
          <w:szCs w:val="28"/>
          <w:rtl/>
        </w:rPr>
      </w:pPr>
    </w:p>
    <w:p w:rsidR="008228C8" w:rsidRPr="008228C8" w:rsidRDefault="008228C8" w:rsidP="008228C8">
      <w:pPr>
        <w:rPr>
          <w:rFonts w:ascii="David" w:hAnsi="David"/>
          <w:bCs/>
          <w:sz w:val="28"/>
          <w:szCs w:val="28"/>
          <w:rtl/>
        </w:rPr>
      </w:pPr>
      <w:r w:rsidRPr="008228C8">
        <w:rPr>
          <w:rFonts w:ascii="David" w:hAnsi="David"/>
          <w:bCs/>
          <w:sz w:val="28"/>
          <w:szCs w:val="28"/>
          <w:rtl/>
        </w:rPr>
        <w:tab/>
      </w:r>
      <w:r w:rsidRPr="008228C8">
        <w:rPr>
          <w:rFonts w:ascii="David" w:hAnsi="David"/>
          <w:bCs/>
          <w:sz w:val="28"/>
          <w:szCs w:val="28"/>
          <w:rtl/>
        </w:rPr>
        <w:tab/>
      </w:r>
      <w:r w:rsidRPr="008228C8">
        <w:rPr>
          <w:rFonts w:ascii="David" w:hAnsi="David"/>
          <w:bCs/>
          <w:sz w:val="28"/>
          <w:szCs w:val="28"/>
          <w:rtl/>
        </w:rPr>
        <w:tab/>
      </w:r>
      <w:r w:rsidRPr="008228C8">
        <w:rPr>
          <w:rFonts w:ascii="David" w:hAnsi="David"/>
          <w:bCs/>
          <w:sz w:val="28"/>
          <w:szCs w:val="28"/>
          <w:rtl/>
        </w:rPr>
        <w:tab/>
      </w:r>
      <w:r w:rsidRPr="008228C8">
        <w:rPr>
          <w:rFonts w:ascii="David" w:hAnsi="David"/>
          <w:bCs/>
          <w:sz w:val="28"/>
          <w:szCs w:val="28"/>
          <w:rtl/>
        </w:rPr>
        <w:tab/>
      </w:r>
      <w:r w:rsidRPr="008228C8">
        <w:rPr>
          <w:rFonts w:ascii="David" w:hAnsi="David"/>
          <w:bCs/>
          <w:sz w:val="28"/>
          <w:szCs w:val="28"/>
          <w:rtl/>
        </w:rPr>
        <w:tab/>
        <w:t>נ ג ד</w:t>
      </w:r>
    </w:p>
    <w:p w:rsidR="008228C8" w:rsidRPr="008228C8" w:rsidRDefault="008228C8" w:rsidP="008228C8">
      <w:pPr>
        <w:rPr>
          <w:rFonts w:ascii="David" w:hAnsi="David"/>
          <w:bCs/>
          <w:sz w:val="28"/>
          <w:szCs w:val="28"/>
          <w:rtl/>
        </w:rPr>
      </w:pPr>
    </w:p>
    <w:p w:rsidR="008228C8" w:rsidRPr="008228C8" w:rsidRDefault="008228C8" w:rsidP="008228C8">
      <w:pPr>
        <w:rPr>
          <w:rFonts w:ascii="David" w:hAnsi="David"/>
          <w:bCs/>
          <w:sz w:val="28"/>
          <w:szCs w:val="28"/>
          <w:rtl/>
        </w:rPr>
      </w:pPr>
      <w:r w:rsidRPr="008228C8">
        <w:rPr>
          <w:rFonts w:ascii="David" w:hAnsi="David"/>
          <w:bCs/>
          <w:sz w:val="28"/>
          <w:szCs w:val="28"/>
          <w:rtl/>
        </w:rPr>
        <w:t>הנאשמים:</w:t>
      </w:r>
      <w:r w:rsidRPr="008228C8">
        <w:rPr>
          <w:rFonts w:ascii="David" w:hAnsi="David"/>
          <w:bCs/>
          <w:sz w:val="28"/>
          <w:szCs w:val="28"/>
          <w:rtl/>
        </w:rPr>
        <w:tab/>
      </w:r>
      <w:r w:rsidRPr="008228C8">
        <w:rPr>
          <w:rFonts w:ascii="David" w:hAnsi="David"/>
          <w:bCs/>
          <w:sz w:val="28"/>
          <w:szCs w:val="28"/>
          <w:rtl/>
        </w:rPr>
        <w:tab/>
      </w:r>
      <w:r w:rsidRPr="008228C8">
        <w:rPr>
          <w:rFonts w:ascii="David" w:hAnsi="David"/>
          <w:bCs/>
          <w:sz w:val="28"/>
          <w:szCs w:val="28"/>
          <w:rtl/>
        </w:rPr>
        <w:tab/>
        <w:t>1. אשר כנפו</w:t>
      </w:r>
    </w:p>
    <w:p w:rsidR="008228C8" w:rsidRPr="008228C8" w:rsidRDefault="008228C8" w:rsidP="008228C8">
      <w:pPr>
        <w:rPr>
          <w:rFonts w:ascii="David" w:hAnsi="David"/>
          <w:bCs/>
          <w:sz w:val="28"/>
          <w:szCs w:val="28"/>
          <w:rtl/>
        </w:rPr>
      </w:pPr>
      <w:r w:rsidRPr="008228C8">
        <w:rPr>
          <w:rFonts w:ascii="David" w:hAnsi="David"/>
          <w:bCs/>
          <w:sz w:val="28"/>
          <w:szCs w:val="28"/>
          <w:rtl/>
        </w:rPr>
        <w:tab/>
      </w:r>
      <w:r w:rsidRPr="008228C8">
        <w:rPr>
          <w:rFonts w:ascii="David" w:hAnsi="David"/>
          <w:bCs/>
          <w:sz w:val="28"/>
          <w:szCs w:val="28"/>
          <w:rtl/>
        </w:rPr>
        <w:tab/>
      </w:r>
      <w:r w:rsidRPr="008228C8">
        <w:rPr>
          <w:rFonts w:ascii="David" w:hAnsi="David"/>
          <w:bCs/>
          <w:sz w:val="28"/>
          <w:szCs w:val="28"/>
          <w:rtl/>
        </w:rPr>
        <w:tab/>
      </w:r>
      <w:r w:rsidRPr="008228C8">
        <w:rPr>
          <w:rFonts w:ascii="David" w:hAnsi="David"/>
          <w:bCs/>
          <w:sz w:val="28"/>
          <w:szCs w:val="28"/>
          <w:rtl/>
        </w:rPr>
        <w:tab/>
        <w:t>2. יותם כרמל אשכנזי</w:t>
      </w:r>
    </w:p>
    <w:p w:rsidR="008228C8" w:rsidRPr="008228C8" w:rsidRDefault="008228C8" w:rsidP="008228C8">
      <w:pPr>
        <w:rPr>
          <w:rFonts w:ascii="David" w:hAnsi="David"/>
          <w:bCs/>
          <w:sz w:val="28"/>
          <w:szCs w:val="28"/>
          <w:rtl/>
        </w:rPr>
      </w:pPr>
    </w:p>
    <w:p w:rsidR="008228C8" w:rsidRPr="008228C8" w:rsidRDefault="008228C8" w:rsidP="008228C8">
      <w:pPr>
        <w:rPr>
          <w:rFonts w:ascii="David" w:hAnsi="David"/>
          <w:b/>
          <w:sz w:val="28"/>
          <w:szCs w:val="28"/>
          <w:rtl/>
        </w:rPr>
      </w:pPr>
      <w:r w:rsidRPr="008228C8">
        <w:rPr>
          <w:rFonts w:ascii="David" w:hAnsi="David"/>
          <w:b/>
          <w:sz w:val="28"/>
          <w:szCs w:val="28"/>
          <w:rtl/>
        </w:rPr>
        <w:t>בשם המאשימה:</w:t>
      </w:r>
      <w:r w:rsidRPr="008228C8">
        <w:rPr>
          <w:rFonts w:ascii="David" w:hAnsi="David"/>
          <w:b/>
          <w:sz w:val="28"/>
          <w:szCs w:val="28"/>
          <w:rtl/>
        </w:rPr>
        <w:tab/>
      </w:r>
      <w:r w:rsidRPr="008228C8">
        <w:rPr>
          <w:rFonts w:ascii="David" w:hAnsi="David"/>
          <w:b/>
          <w:sz w:val="28"/>
          <w:szCs w:val="28"/>
          <w:rtl/>
        </w:rPr>
        <w:tab/>
        <w:t>עו"ד חן נחמני</w:t>
      </w:r>
    </w:p>
    <w:p w:rsidR="008228C8" w:rsidRPr="008228C8" w:rsidRDefault="008228C8" w:rsidP="008228C8">
      <w:pPr>
        <w:rPr>
          <w:rFonts w:ascii="David" w:hAnsi="David"/>
          <w:bCs/>
          <w:sz w:val="28"/>
          <w:szCs w:val="28"/>
          <w:rtl/>
        </w:rPr>
      </w:pPr>
      <w:r w:rsidRPr="008228C8">
        <w:rPr>
          <w:rFonts w:ascii="David" w:hAnsi="David"/>
          <w:b/>
          <w:sz w:val="28"/>
          <w:szCs w:val="28"/>
          <w:rtl/>
        </w:rPr>
        <w:t>בשם הנאשמים:</w:t>
      </w:r>
      <w:r w:rsidRPr="008228C8">
        <w:rPr>
          <w:rFonts w:ascii="David" w:hAnsi="David"/>
          <w:b/>
          <w:sz w:val="28"/>
          <w:szCs w:val="28"/>
          <w:rtl/>
        </w:rPr>
        <w:tab/>
      </w:r>
      <w:r w:rsidRPr="008228C8">
        <w:rPr>
          <w:rFonts w:ascii="David" w:hAnsi="David"/>
          <w:b/>
          <w:sz w:val="28"/>
          <w:szCs w:val="28"/>
          <w:rtl/>
        </w:rPr>
        <w:tab/>
        <w:t>עו"ד איתן און</w:t>
      </w:r>
    </w:p>
    <w:p w:rsidR="008228C8" w:rsidRDefault="008228C8" w:rsidP="008228C8">
      <w:pPr>
        <w:spacing w:line="360" w:lineRule="auto"/>
        <w:rPr>
          <w:rFonts w:ascii="David" w:hAnsi="David"/>
          <w:bCs/>
          <w:sz w:val="28"/>
          <w:szCs w:val="28"/>
          <w:rtl/>
        </w:rPr>
      </w:pPr>
    </w:p>
    <w:p w:rsidR="00780E66" w:rsidRPr="008228C8" w:rsidRDefault="00780E66" w:rsidP="008228C8">
      <w:pPr>
        <w:spacing w:line="360" w:lineRule="auto"/>
        <w:rPr>
          <w:rFonts w:ascii="David" w:hAnsi="David"/>
          <w:bCs/>
          <w:sz w:val="28"/>
          <w:szCs w:val="28"/>
          <w:rtl/>
        </w:rPr>
      </w:pPr>
    </w:p>
    <w:p w:rsidR="008228C8" w:rsidRPr="008228C8" w:rsidRDefault="008228C8" w:rsidP="008228C8">
      <w:pPr>
        <w:spacing w:line="360" w:lineRule="auto"/>
        <w:jc w:val="center"/>
        <w:rPr>
          <w:rFonts w:ascii="David" w:hAnsi="David"/>
          <w:bCs/>
          <w:sz w:val="28"/>
          <w:szCs w:val="28"/>
          <w:u w:val="single"/>
          <w:rtl/>
        </w:rPr>
      </w:pPr>
      <w:r w:rsidRPr="008228C8">
        <w:rPr>
          <w:rFonts w:ascii="David" w:hAnsi="David"/>
          <w:bCs/>
          <w:sz w:val="28"/>
          <w:szCs w:val="28"/>
          <w:u w:val="single"/>
          <w:rtl/>
        </w:rPr>
        <w:t>גזר דין</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8228C8">
      <w:pPr>
        <w:spacing w:line="360" w:lineRule="auto"/>
        <w:jc w:val="both"/>
        <w:rPr>
          <w:rFonts w:ascii="FrankRuehl" w:eastAsia="Calibri" w:hAnsi="FrankRuehl" w:cs="FrankRuehl"/>
          <w:sz w:val="28"/>
          <w:szCs w:val="28"/>
        </w:rPr>
      </w:pPr>
      <w:r w:rsidRPr="008228C8">
        <w:rPr>
          <w:rFonts w:ascii="FrankRuehl" w:eastAsia="Calibri" w:hAnsi="FrankRuehl" w:cs="Miriam"/>
          <w:b/>
          <w:sz w:val="28"/>
          <w:rtl/>
        </w:rPr>
        <w:tab/>
      </w:r>
      <w:r w:rsidRPr="008228C8">
        <w:rPr>
          <w:rFonts w:ascii="FrankRuehl" w:eastAsia="Calibri" w:hAnsi="FrankRuehl" w:cs="FrankRuehl"/>
          <w:sz w:val="28"/>
          <w:szCs w:val="28"/>
          <w:rtl/>
        </w:rPr>
        <w:t xml:space="preserve">הנאשם 2 (יליד 1991) נשוי לבתו של הנאשם 1 (יליד 1965). הנאשמים הורשעו בהתאם להודאתם בעבירות המיוחסות להם בכתב אישום מתוקן, והופנו לשירות המבחן ללא הסכמות עונשיות בין הצדדים. </w:t>
      </w:r>
    </w:p>
    <w:p w:rsidR="008228C8" w:rsidRDefault="008228C8" w:rsidP="008228C8">
      <w:pPr>
        <w:spacing w:line="360" w:lineRule="auto"/>
        <w:jc w:val="both"/>
        <w:rPr>
          <w:rFonts w:ascii="FrankRuehl" w:eastAsia="Calibri" w:hAnsi="FrankRuehl" w:cs="FrankRuehl"/>
          <w:sz w:val="28"/>
          <w:szCs w:val="28"/>
          <w:rtl/>
        </w:rPr>
      </w:pPr>
    </w:p>
    <w:p w:rsidR="008508A6" w:rsidRPr="00981BF8" w:rsidRDefault="008508A6" w:rsidP="008228C8">
      <w:pPr>
        <w:spacing w:line="360" w:lineRule="auto"/>
        <w:jc w:val="both"/>
        <w:rPr>
          <w:rFonts w:ascii="FrankRuehl" w:eastAsia="Calibri" w:hAnsi="FrankRuehl" w:cs="Miriam"/>
          <w:b/>
          <w:sz w:val="28"/>
          <w:rtl/>
        </w:rPr>
      </w:pPr>
      <w:r w:rsidRPr="00981BF8">
        <w:rPr>
          <w:rFonts w:ascii="FrankRuehl" w:eastAsia="Calibri" w:hAnsi="FrankRuehl" w:cs="Miriam" w:hint="cs"/>
          <w:b/>
          <w:sz w:val="28"/>
          <w:rtl/>
        </w:rPr>
        <w:t>כתב האישום</w:t>
      </w:r>
    </w:p>
    <w:p w:rsidR="008508A6" w:rsidRPr="00981BF8" w:rsidRDefault="008508A6" w:rsidP="008228C8">
      <w:pPr>
        <w:spacing w:line="360" w:lineRule="auto"/>
        <w:jc w:val="both"/>
        <w:rPr>
          <w:rFonts w:ascii="FrankRuehl" w:eastAsia="Calibri" w:hAnsi="FrankRuehl" w:cs="Miriam"/>
          <w:b/>
          <w:sz w:val="28"/>
          <w:rtl/>
        </w:rPr>
      </w:pPr>
    </w:p>
    <w:p w:rsidR="008228C8" w:rsidRPr="008228C8" w:rsidRDefault="008228C8" w:rsidP="008228C8">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1.</w:t>
      </w:r>
      <w:r w:rsidRPr="008228C8">
        <w:rPr>
          <w:rFonts w:ascii="FrankRuehl" w:eastAsia="Calibri" w:hAnsi="FrankRuehl" w:cs="FrankRuehl"/>
          <w:sz w:val="28"/>
          <w:szCs w:val="28"/>
          <w:rtl/>
        </w:rPr>
        <w:tab/>
        <w:t xml:space="preserve">מכתב האישום המתוקן עולה כי עובר ליום 5.10.21 שכר הנאשם 1 בית ברחוב אהרונוביץ 66 בנתניה. </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483E45">
      <w:pPr>
        <w:spacing w:line="360" w:lineRule="auto"/>
        <w:ind w:firstLine="720"/>
        <w:jc w:val="both"/>
        <w:rPr>
          <w:rFonts w:ascii="FrankRuehl" w:eastAsia="Calibri" w:hAnsi="FrankRuehl" w:cs="FrankRuehl"/>
          <w:sz w:val="28"/>
          <w:szCs w:val="28"/>
          <w:rtl/>
        </w:rPr>
      </w:pPr>
      <w:r w:rsidRPr="008228C8">
        <w:rPr>
          <w:rFonts w:ascii="FrankRuehl" w:eastAsia="Calibri" w:hAnsi="FrankRuehl" w:cs="Miriam"/>
          <w:b/>
          <w:sz w:val="28"/>
          <w:rtl/>
        </w:rPr>
        <w:t xml:space="preserve">אישום מס' 1: </w:t>
      </w:r>
      <w:r w:rsidRPr="008228C8">
        <w:rPr>
          <w:rFonts w:ascii="FrankRuehl" w:eastAsia="Calibri" w:hAnsi="FrankRuehl" w:cs="FrankRuehl"/>
          <w:sz w:val="28"/>
          <w:szCs w:val="28"/>
          <w:rtl/>
        </w:rPr>
        <w:t xml:space="preserve">החל מיום 5.10.21 ועד ליום 2.5.22 הקימו הנאשמים בצוותא </w:t>
      </w:r>
      <w:r w:rsidR="008508A6">
        <w:rPr>
          <w:rFonts w:ascii="FrankRuehl" w:eastAsia="Calibri" w:hAnsi="FrankRuehl" w:cs="FrankRuehl"/>
          <w:sz w:val="28"/>
          <w:szCs w:val="28"/>
          <w:rtl/>
        </w:rPr>
        <w:t>מעבדה לגידול סם מסוכן מסוג קנאב</w:t>
      </w:r>
      <w:r w:rsidR="008508A6">
        <w:rPr>
          <w:rFonts w:ascii="FrankRuehl" w:eastAsia="Calibri" w:hAnsi="FrankRuehl" w:cs="FrankRuehl" w:hint="cs"/>
          <w:sz w:val="28"/>
          <w:szCs w:val="28"/>
          <w:rtl/>
        </w:rPr>
        <w:t>י</w:t>
      </w:r>
      <w:r w:rsidRPr="008228C8">
        <w:rPr>
          <w:rFonts w:ascii="FrankRuehl" w:eastAsia="Calibri" w:hAnsi="FrankRuehl" w:cs="FrankRuehl"/>
          <w:sz w:val="28"/>
          <w:szCs w:val="28"/>
          <w:rtl/>
        </w:rPr>
        <w:t>ס</w:t>
      </w:r>
      <w:r w:rsidR="00561ECF">
        <w:rPr>
          <w:rFonts w:ascii="FrankRuehl" w:eastAsia="Calibri" w:hAnsi="FrankRuehl" w:cs="FrankRuehl" w:hint="cs"/>
          <w:sz w:val="28"/>
          <w:szCs w:val="28"/>
          <w:rtl/>
        </w:rPr>
        <w:t>,</w:t>
      </w:r>
      <w:r w:rsidRPr="008228C8">
        <w:rPr>
          <w:rFonts w:ascii="FrankRuehl" w:eastAsia="Calibri" w:hAnsi="FrankRuehl" w:cs="FrankRuehl"/>
          <w:sz w:val="28"/>
          <w:szCs w:val="28"/>
          <w:rtl/>
        </w:rPr>
        <w:t xml:space="preserve"> בה החזיקו 46 אדניות, 40 מנורות, מדי טמפרטורה, מזגנים, מאווררים, כבלי חשמל וחומרי דישון. הנאשם 1 גידל 10,075 שתילים של סם מסוכן מסוג</w:t>
      </w:r>
      <w:r w:rsidR="00561ECF">
        <w:rPr>
          <w:rFonts w:ascii="FrankRuehl" w:eastAsia="Calibri" w:hAnsi="FrankRuehl" w:cs="FrankRuehl"/>
          <w:sz w:val="28"/>
          <w:szCs w:val="28"/>
          <w:rtl/>
        </w:rPr>
        <w:t xml:space="preserve"> קנאביס במשקל כולל 8.46 ק"ג נטו</w:t>
      </w:r>
      <w:r w:rsidR="00561ECF">
        <w:rPr>
          <w:rFonts w:ascii="FrankRuehl" w:eastAsia="Calibri" w:hAnsi="FrankRuehl" w:cs="FrankRuehl" w:hint="cs"/>
          <w:sz w:val="28"/>
          <w:szCs w:val="28"/>
          <w:rtl/>
        </w:rPr>
        <w:t>.</w:t>
      </w:r>
      <w:r w:rsidRPr="008228C8">
        <w:rPr>
          <w:rFonts w:ascii="FrankRuehl" w:eastAsia="Calibri" w:hAnsi="FrankRuehl" w:cs="FrankRuehl"/>
          <w:sz w:val="28"/>
          <w:szCs w:val="28"/>
          <w:rtl/>
        </w:rPr>
        <w:t xml:space="preserve"> הנאשם 2 סייע </w:t>
      </w:r>
      <w:r w:rsidR="00561ECF">
        <w:rPr>
          <w:rFonts w:ascii="FrankRuehl" w:eastAsia="Calibri" w:hAnsi="FrankRuehl" w:cs="FrankRuehl" w:hint="cs"/>
          <w:sz w:val="28"/>
          <w:szCs w:val="28"/>
          <w:rtl/>
        </w:rPr>
        <w:t>לנאשם</w:t>
      </w:r>
      <w:r w:rsidR="00C41DA3">
        <w:rPr>
          <w:rFonts w:ascii="FrankRuehl" w:eastAsia="Calibri" w:hAnsi="FrankRuehl" w:cs="FrankRuehl" w:hint="cs"/>
          <w:sz w:val="28"/>
          <w:szCs w:val="28"/>
          <w:rtl/>
        </w:rPr>
        <w:t xml:space="preserve"> 1</w:t>
      </w:r>
      <w:r w:rsidR="00561ECF">
        <w:rPr>
          <w:rFonts w:ascii="FrankRuehl" w:eastAsia="Calibri" w:hAnsi="FrankRuehl" w:cs="FrankRuehl" w:hint="cs"/>
          <w:sz w:val="28"/>
          <w:szCs w:val="28"/>
          <w:rtl/>
        </w:rPr>
        <w:t xml:space="preserve"> </w:t>
      </w:r>
      <w:r w:rsidRPr="008228C8">
        <w:rPr>
          <w:rFonts w:ascii="FrankRuehl" w:eastAsia="Calibri" w:hAnsi="FrankRuehl" w:cs="FrankRuehl"/>
          <w:sz w:val="28"/>
          <w:szCs w:val="28"/>
          <w:rtl/>
        </w:rPr>
        <w:t xml:space="preserve">במתן הוראות כיצד לגדל את השתילים, בעוד </w:t>
      </w:r>
      <w:r w:rsidR="00561ECF">
        <w:rPr>
          <w:rFonts w:ascii="FrankRuehl" w:eastAsia="Calibri" w:hAnsi="FrankRuehl" w:cs="FrankRuehl" w:hint="cs"/>
          <w:sz w:val="28"/>
          <w:szCs w:val="28"/>
          <w:rtl/>
        </w:rPr>
        <w:t xml:space="preserve">האחרון </w:t>
      </w:r>
      <w:r w:rsidR="00483E45">
        <w:rPr>
          <w:rFonts w:ascii="FrankRuehl" w:eastAsia="Calibri" w:hAnsi="FrankRuehl" w:cs="FrankRuehl" w:hint="cs"/>
          <w:sz w:val="28"/>
          <w:szCs w:val="28"/>
          <w:rtl/>
        </w:rPr>
        <w:t>ת</w:t>
      </w:r>
      <w:r w:rsidR="0050033D">
        <w:rPr>
          <w:rFonts w:ascii="FrankRuehl" w:eastAsia="Calibri" w:hAnsi="FrankRuehl" w:cs="FrankRuehl" w:hint="cs"/>
          <w:sz w:val="28"/>
          <w:szCs w:val="28"/>
          <w:rtl/>
        </w:rPr>
        <w:t>ִ</w:t>
      </w:r>
      <w:r w:rsidRPr="008228C8">
        <w:rPr>
          <w:rFonts w:ascii="FrankRuehl" w:eastAsia="Calibri" w:hAnsi="FrankRuehl" w:cs="FrankRuehl"/>
          <w:sz w:val="28"/>
          <w:szCs w:val="28"/>
          <w:rtl/>
        </w:rPr>
        <w:t xml:space="preserve">חזק בפועל את המעבדה. בגין אישום זה הורשע הנאשם 1 בעבירות </w:t>
      </w:r>
      <w:r w:rsidRPr="008228C8">
        <w:rPr>
          <w:rFonts w:ascii="FrankRuehl" w:eastAsia="Calibri" w:hAnsi="FrankRuehl" w:cs="Miriam"/>
          <w:b/>
          <w:sz w:val="28"/>
          <w:rtl/>
        </w:rPr>
        <w:t>גידול וייצור סמים מסוכנים</w:t>
      </w:r>
      <w:r w:rsidRPr="008228C8">
        <w:rPr>
          <w:rFonts w:ascii="FrankRuehl" w:eastAsia="Calibri" w:hAnsi="FrankRuehl" w:cs="FrankRuehl"/>
          <w:sz w:val="28"/>
          <w:szCs w:val="28"/>
          <w:rtl/>
        </w:rPr>
        <w:t xml:space="preserve">, לפי סעיף 6 לפקודת הסמים המסוכנים [נוסח חדש], תשל"ג-1973 (להלן: </w:t>
      </w:r>
      <w:r w:rsidRPr="008228C8">
        <w:rPr>
          <w:rFonts w:ascii="FrankRuehl" w:eastAsia="Calibri" w:hAnsi="FrankRuehl" w:cs="Miriam"/>
          <w:b/>
          <w:sz w:val="28"/>
          <w:rtl/>
        </w:rPr>
        <w:t>פקודת הסמים</w:t>
      </w:r>
      <w:r w:rsidRPr="008228C8">
        <w:rPr>
          <w:rFonts w:ascii="FrankRuehl" w:eastAsia="Calibri" w:hAnsi="FrankRuehl" w:cs="FrankRuehl"/>
          <w:sz w:val="28"/>
          <w:szCs w:val="28"/>
          <w:rtl/>
        </w:rPr>
        <w:t xml:space="preserve">); </w:t>
      </w:r>
      <w:r w:rsidRPr="008228C8">
        <w:rPr>
          <w:rFonts w:ascii="FrankRuehl" w:eastAsia="Calibri" w:hAnsi="FrankRuehl" w:cs="Miriam"/>
          <w:b/>
          <w:sz w:val="28"/>
          <w:rtl/>
        </w:rPr>
        <w:t>החזקת חצרים</w:t>
      </w:r>
      <w:r w:rsidRPr="008228C8">
        <w:rPr>
          <w:rFonts w:ascii="FrankRuehl" w:eastAsia="Calibri" w:hAnsi="FrankRuehl" w:cs="FrankRuehl"/>
          <w:sz w:val="28"/>
          <w:szCs w:val="28"/>
          <w:rtl/>
        </w:rPr>
        <w:t xml:space="preserve">, לפי סעיף 9 (א) ו-(ד) לפקודת הסמים; </w:t>
      </w:r>
      <w:r w:rsidRPr="008228C8">
        <w:rPr>
          <w:rFonts w:ascii="FrankRuehl" w:eastAsia="Calibri" w:hAnsi="FrankRuehl" w:cs="Miriam"/>
          <w:b/>
          <w:sz w:val="28"/>
          <w:rtl/>
        </w:rPr>
        <w:t>החזקת כלים להכנת סם לא לצריכה עצמית</w:t>
      </w:r>
      <w:r w:rsidRPr="008228C8">
        <w:rPr>
          <w:rFonts w:ascii="FrankRuehl" w:eastAsia="Calibri" w:hAnsi="FrankRuehl" w:cs="FrankRuehl"/>
          <w:sz w:val="28"/>
          <w:szCs w:val="28"/>
          <w:rtl/>
        </w:rPr>
        <w:t xml:space="preserve">, לפי סעיף 10 רישא לפקודת הסמים. הנאשם 2 הורשע בסיוע לעבירות הנ"ל, קרי, באותן הוראות חיקוק בתוספת סעיף 31 לחוק העונשין, תשל"ז-1977 (להלן: </w:t>
      </w:r>
      <w:r w:rsidRPr="008228C8">
        <w:rPr>
          <w:rFonts w:ascii="FrankRuehl" w:eastAsia="Calibri" w:hAnsi="FrankRuehl" w:cs="Miriam"/>
          <w:b/>
          <w:sz w:val="28"/>
          <w:rtl/>
        </w:rPr>
        <w:t>חוק העונשין</w:t>
      </w:r>
      <w:r w:rsidRPr="008228C8">
        <w:rPr>
          <w:rFonts w:ascii="FrankRuehl" w:eastAsia="Calibri" w:hAnsi="FrankRuehl" w:cs="FrankRuehl"/>
          <w:sz w:val="28"/>
          <w:szCs w:val="28"/>
          <w:rtl/>
        </w:rPr>
        <w:t xml:space="preserve">). </w:t>
      </w:r>
    </w:p>
    <w:p w:rsidR="008228C8" w:rsidRPr="008228C8" w:rsidRDefault="008228C8" w:rsidP="008228C8">
      <w:pPr>
        <w:spacing w:line="360" w:lineRule="auto"/>
        <w:ind w:firstLine="720"/>
        <w:jc w:val="both"/>
        <w:rPr>
          <w:rFonts w:ascii="FrankRuehl" w:eastAsia="Calibri" w:hAnsi="FrankRuehl" w:cs="FrankRuehl"/>
          <w:sz w:val="28"/>
          <w:szCs w:val="28"/>
          <w:rtl/>
        </w:rPr>
      </w:pPr>
    </w:p>
    <w:p w:rsidR="008228C8" w:rsidRPr="008228C8" w:rsidRDefault="008228C8" w:rsidP="008228C8">
      <w:pPr>
        <w:spacing w:line="360" w:lineRule="auto"/>
        <w:ind w:firstLine="720"/>
        <w:jc w:val="both"/>
        <w:rPr>
          <w:rFonts w:ascii="FrankRuehl" w:eastAsia="Calibri" w:hAnsi="FrankRuehl" w:cs="FrankRuehl"/>
          <w:sz w:val="28"/>
          <w:szCs w:val="28"/>
          <w:rtl/>
        </w:rPr>
      </w:pPr>
      <w:r w:rsidRPr="008228C8">
        <w:rPr>
          <w:rFonts w:ascii="FrankRuehl" w:eastAsia="Calibri" w:hAnsi="FrankRuehl" w:cs="Miriam"/>
          <w:b/>
          <w:sz w:val="28"/>
          <w:rtl/>
        </w:rPr>
        <w:lastRenderedPageBreak/>
        <w:t xml:space="preserve">אישום מס' 2: </w:t>
      </w:r>
      <w:r w:rsidRPr="008228C8">
        <w:rPr>
          <w:rFonts w:ascii="FrankRuehl" w:eastAsia="Calibri" w:hAnsi="FrankRuehl" w:cs="FrankRuehl"/>
          <w:sz w:val="28"/>
          <w:szCs w:val="28"/>
          <w:rtl/>
        </w:rPr>
        <w:t xml:space="preserve">במהלך החודשים נובמבר 2021 עד מאי 2022 ביצע הנאשם 1 ריבוי עסקאות אחרות בסמים, והנאשם 2 ביצע עסקה אחרת יחידה, בכך שהכינו מגשים של מאות שתילי סם מסוג קנאביס לאחרים שזהותם אינה ידועה למאשימה, תמורת תשלום שאינו ידוע במדויק למאשימה. בגין אישום זה הורשע הנאשם 1 </w:t>
      </w:r>
      <w:r w:rsidRPr="008228C8">
        <w:rPr>
          <w:rFonts w:ascii="FrankRuehl" w:eastAsia="Calibri" w:hAnsi="FrankRuehl" w:cs="Miriam"/>
          <w:b/>
          <w:sz w:val="28"/>
          <w:rtl/>
        </w:rPr>
        <w:t>בריבוי עבירות עסקה אחרת בסם</w:t>
      </w:r>
      <w:r w:rsidRPr="008228C8">
        <w:rPr>
          <w:rFonts w:ascii="FrankRuehl" w:eastAsia="Calibri" w:hAnsi="FrankRuehl" w:cs="FrankRuehl"/>
          <w:sz w:val="28"/>
          <w:szCs w:val="28"/>
          <w:rtl/>
        </w:rPr>
        <w:t xml:space="preserve">, לפי סעיפים 13 ו-19א לפקודת הסמים, ואילו הנאשם 2 הורשע </w:t>
      </w:r>
      <w:r w:rsidRPr="008228C8">
        <w:rPr>
          <w:rFonts w:ascii="FrankRuehl" w:eastAsia="Calibri" w:hAnsi="FrankRuehl" w:cs="Miriam"/>
          <w:b/>
          <w:sz w:val="28"/>
          <w:rtl/>
        </w:rPr>
        <w:t>בעסקה אחרת יחידה</w:t>
      </w:r>
      <w:r w:rsidRPr="008228C8">
        <w:rPr>
          <w:rFonts w:ascii="FrankRuehl" w:eastAsia="Calibri" w:hAnsi="FrankRuehl" w:cs="FrankRuehl"/>
          <w:sz w:val="28"/>
          <w:szCs w:val="28"/>
          <w:rtl/>
        </w:rPr>
        <w:t>.</w:t>
      </w:r>
    </w:p>
    <w:p w:rsidR="008228C8" w:rsidRDefault="008228C8" w:rsidP="008228C8">
      <w:pPr>
        <w:spacing w:line="360" w:lineRule="auto"/>
        <w:jc w:val="both"/>
        <w:rPr>
          <w:rFonts w:ascii="FrankRuehl" w:eastAsia="Calibri" w:hAnsi="FrankRuehl" w:cs="FrankRuehl"/>
          <w:sz w:val="28"/>
          <w:szCs w:val="28"/>
          <w:rtl/>
        </w:rPr>
      </w:pPr>
    </w:p>
    <w:p w:rsidR="00F14E70" w:rsidRPr="00981BF8" w:rsidRDefault="00F14E70" w:rsidP="008228C8">
      <w:pPr>
        <w:spacing w:line="360" w:lineRule="auto"/>
        <w:jc w:val="both"/>
        <w:rPr>
          <w:rFonts w:ascii="FrankRuehl" w:eastAsia="Calibri" w:hAnsi="FrankRuehl" w:cs="Miriam"/>
          <w:b/>
          <w:sz w:val="28"/>
          <w:rtl/>
        </w:rPr>
      </w:pPr>
      <w:r w:rsidRPr="00981BF8">
        <w:rPr>
          <w:rFonts w:ascii="FrankRuehl" w:eastAsia="Calibri" w:hAnsi="FrankRuehl" w:cs="Miriam" w:hint="cs"/>
          <w:b/>
          <w:sz w:val="28"/>
          <w:rtl/>
        </w:rPr>
        <w:t>תסקירי מבחן</w:t>
      </w:r>
    </w:p>
    <w:p w:rsidR="00F14E70" w:rsidRPr="00981BF8" w:rsidRDefault="00F14E70" w:rsidP="008228C8">
      <w:pPr>
        <w:spacing w:line="360" w:lineRule="auto"/>
        <w:jc w:val="both"/>
        <w:rPr>
          <w:rFonts w:ascii="FrankRuehl" w:eastAsia="Calibri" w:hAnsi="FrankRuehl" w:cs="Miriam"/>
          <w:b/>
          <w:sz w:val="28"/>
          <w:rtl/>
        </w:rPr>
      </w:pPr>
    </w:p>
    <w:p w:rsidR="008228C8" w:rsidRPr="008228C8" w:rsidRDefault="008228C8" w:rsidP="003E5B6E">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2.</w:t>
      </w:r>
      <w:r w:rsidRPr="008228C8">
        <w:rPr>
          <w:rFonts w:ascii="FrankRuehl" w:eastAsia="Calibri" w:hAnsi="FrankRuehl" w:cs="FrankRuehl"/>
          <w:sz w:val="28"/>
          <w:szCs w:val="28"/>
          <w:rtl/>
        </w:rPr>
        <w:tab/>
        <w:t xml:space="preserve">הוגשו שלושה תסקירים לכל אחד מהנאשמים. עיקריהם יובאו להלן. </w:t>
      </w:r>
      <w:r w:rsidRPr="008228C8">
        <w:rPr>
          <w:rFonts w:ascii="FrankRuehl" w:eastAsia="Calibri" w:hAnsi="FrankRuehl" w:cs="Miriam"/>
          <w:b/>
          <w:sz w:val="28"/>
          <w:rtl/>
        </w:rPr>
        <w:t xml:space="preserve">נאשם 1: </w:t>
      </w:r>
      <w:r w:rsidRPr="008228C8">
        <w:rPr>
          <w:rFonts w:ascii="FrankRuehl" w:eastAsia="Calibri" w:hAnsi="FrankRuehl" w:cs="FrankRuehl"/>
          <w:sz w:val="28"/>
          <w:szCs w:val="28"/>
          <w:rtl/>
        </w:rPr>
        <w:t>בן כ-59, גרוש ואב ל-4 ילדים, עובד מאז חודש מרץ 2023 במתנ"ס במגרש הכדורגל בקצרין. הוריו התגרשו בהיותו פעוט, התגוררו בשני קצוות הארץ, והוא התגורר לסירוגין אצל שניהם לתקופות ממושכות. הנאשם תיאר מערכת יחסים מורכבת עם הוריו. הוא נשר בגיל צעיר ממערכת החינוך (לאחר שבע שנות לימוד), אך בהמשך השלים 12 שנות לימוד במסגרת שירות צבאי מלא בצה"ל כחייל מקא"מ. לדבריו, חווה אירועים טראומתיים במהלך מלחמת לבנון הראשונה. לאחר שחרורו עבד בתחום התברואה וכאיש אחזקה, ובהמשך כעצמאי. בגיל 24 נישא לרעייתו הראשונה ואם שלושה מילדיו, והתגרש בחלוף כ-12 שנים. בהמשך ניהל מערכת יחסים משך כ-20 שנים, ממנה נולדה בתו הצעירה. לטענתו, הפרידה מזוגתו הותירה אותו בחובות כספיים כבדים</w:t>
      </w:r>
      <w:r w:rsidR="002D66E5">
        <w:rPr>
          <w:rFonts w:ascii="FrankRuehl" w:eastAsia="Calibri" w:hAnsi="FrankRuehl" w:cs="FrankRuehl" w:hint="cs"/>
          <w:sz w:val="28"/>
          <w:szCs w:val="28"/>
          <w:rtl/>
        </w:rPr>
        <w:t>, אשר</w:t>
      </w:r>
      <w:r w:rsidRPr="008228C8">
        <w:rPr>
          <w:rFonts w:ascii="FrankRuehl" w:eastAsia="Calibri" w:hAnsi="FrankRuehl" w:cs="FrankRuehl"/>
          <w:sz w:val="28"/>
          <w:szCs w:val="28"/>
          <w:rtl/>
        </w:rPr>
        <w:t xml:space="preserve"> עמדו ברקע לביצוע העבירות. כיום הוא מצוי בקשר זוגי.</w:t>
      </w:r>
      <w:r w:rsidR="003E5B6E">
        <w:rPr>
          <w:rFonts w:ascii="FrankRuehl" w:eastAsia="Calibri" w:hAnsi="FrankRuehl" w:cs="FrankRuehl" w:hint="cs"/>
          <w:sz w:val="28"/>
          <w:szCs w:val="28"/>
          <w:rtl/>
        </w:rPr>
        <w:t xml:space="preserve"> </w:t>
      </w:r>
      <w:r w:rsidR="003E5B6E" w:rsidRPr="008228C8">
        <w:rPr>
          <w:rFonts w:ascii="FrankRuehl" w:eastAsia="Calibri" w:hAnsi="FrankRuehl" w:cs="FrankRuehl"/>
          <w:sz w:val="28"/>
          <w:szCs w:val="28"/>
          <w:rtl/>
        </w:rPr>
        <w:t>הנאשם נ</w:t>
      </w:r>
      <w:r w:rsidR="003E5B6E">
        <w:rPr>
          <w:rFonts w:ascii="FrankRuehl" w:eastAsia="Calibri" w:hAnsi="FrankRuehl" w:cs="FrankRuehl"/>
          <w:sz w:val="28"/>
          <w:szCs w:val="28"/>
          <w:rtl/>
        </w:rPr>
        <w:t>עדר הרשעות קודמות</w:t>
      </w:r>
      <w:r w:rsidR="003E5B6E">
        <w:rPr>
          <w:rFonts w:ascii="FrankRuehl" w:eastAsia="Calibri" w:hAnsi="FrankRuehl" w:cs="FrankRuehl" w:hint="cs"/>
          <w:sz w:val="28"/>
          <w:szCs w:val="28"/>
          <w:rtl/>
        </w:rPr>
        <w:t>,</w:t>
      </w:r>
      <w:r w:rsidR="003E5B6E" w:rsidRPr="008228C8">
        <w:rPr>
          <w:rFonts w:ascii="FrankRuehl" w:eastAsia="Calibri" w:hAnsi="FrankRuehl" w:cs="FrankRuehl"/>
          <w:sz w:val="28"/>
          <w:szCs w:val="28"/>
          <w:rtl/>
        </w:rPr>
        <w:t xml:space="preserve"> </w:t>
      </w:r>
      <w:r w:rsidRPr="008228C8">
        <w:rPr>
          <w:rFonts w:ascii="FrankRuehl" w:eastAsia="Calibri" w:hAnsi="FrankRuehl" w:cs="FrankRuehl"/>
          <w:sz w:val="28"/>
          <w:szCs w:val="28"/>
          <w:rtl/>
        </w:rPr>
        <w:t>שלל שימוש בחומרים ממכרים, ובדיקות שתן שנתן נמצאו נקיות.</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3E5B6E">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ab/>
        <w:t>הוא קיבל אחריות מלאה על העבירות בהן הורשע, הביע חרטה על מעשיו, ותובנה באשר לחומרתם. לטענתו, בעקבות קריסת העסק נכנס לחובות, חווה משבר, וחיפש דרך להרוויח "כסף מהיר". משכך פנה לגידול קנאביס, כשלשם כך עזב את עבודתו כשליח, ושכר את הדירה בנתניה בה התגורר וגידל קנאביס. לדברי הנאשם, הוא למד באמצעות האינטרנט כיצד לגדל סמים, ומשהדבר לא עלה בידו, פנה לנאשם מס' 2 כדי שיסייע לו. לטענת הנאשם, הוא היה מודע בזמן אמת לכך שמעשיו אסורים, אך בשל המצוקה בה היה נתון, פעל מתוך שיקול דעת פגום. עוד טען, כי בדיעבד הוא מבין שהיה עליו לפנות לקבלת עזרה, אך התבייש לעשות זאת.</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AF3535">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ab/>
        <w:t xml:space="preserve">במסגרת צו פיקוח מעצרים השתלב הנאשם בקבוצה טיפולית שנועדה לעוברי חוק בתחום הסמים. </w:t>
      </w:r>
      <w:r w:rsidR="00E47425">
        <w:rPr>
          <w:rFonts w:ascii="FrankRuehl" w:eastAsia="Calibri" w:hAnsi="FrankRuehl" w:cs="FrankRuehl" w:hint="cs"/>
          <w:sz w:val="28"/>
          <w:szCs w:val="28"/>
          <w:rtl/>
        </w:rPr>
        <w:t>הוא</w:t>
      </w:r>
      <w:r w:rsidRPr="008228C8">
        <w:rPr>
          <w:rFonts w:ascii="FrankRuehl" w:eastAsia="Calibri" w:hAnsi="FrankRuehl" w:cs="FrankRuehl"/>
          <w:sz w:val="28"/>
          <w:szCs w:val="28"/>
          <w:rtl/>
        </w:rPr>
        <w:t xml:space="preserve"> הגיע לכל המפגשים</w:t>
      </w:r>
      <w:r w:rsidR="00E47425">
        <w:rPr>
          <w:rFonts w:ascii="FrankRuehl" w:eastAsia="Calibri" w:hAnsi="FrankRuehl" w:cs="FrankRuehl" w:hint="cs"/>
          <w:sz w:val="28"/>
          <w:szCs w:val="28"/>
          <w:rtl/>
        </w:rPr>
        <w:t>,</w:t>
      </w:r>
      <w:r w:rsidRPr="008228C8">
        <w:rPr>
          <w:rFonts w:ascii="FrankRuehl" w:eastAsia="Calibri" w:hAnsi="FrankRuehl" w:cs="FrankRuehl"/>
          <w:sz w:val="28"/>
          <w:szCs w:val="28"/>
          <w:rtl/>
        </w:rPr>
        <w:t xml:space="preserve"> וגילה מחויבות לתהליך. בחודש פברואר 2024 השתלב בטיפול רגשי מטעם קופת החולים, שיחה שבועית בת שעה באמצעות היוועדות חזותית. נכון ליום 4.4.24 השתתף הנאשם בשישה מפגשים מתוך חמישה עשר להם הוא זכאי. לדברי המטפל, </w:t>
      </w:r>
      <w:r w:rsidRPr="008228C8">
        <w:rPr>
          <w:rFonts w:ascii="FrankRuehl" w:eastAsia="Calibri" w:hAnsi="FrankRuehl" w:cs="FrankRuehl"/>
          <w:sz w:val="28"/>
          <w:szCs w:val="28"/>
          <w:rtl/>
        </w:rPr>
        <w:lastRenderedPageBreak/>
        <w:t>הנאשם משתף באופן אותנטי בתכניו, ומצליח לבחון את התנהלותו ובחירותיו. עוד העריך</w:t>
      </w:r>
      <w:r w:rsidR="00E47425">
        <w:rPr>
          <w:rFonts w:ascii="FrankRuehl" w:eastAsia="Calibri" w:hAnsi="FrankRuehl" w:cs="FrankRuehl" w:hint="cs"/>
          <w:sz w:val="28"/>
          <w:szCs w:val="28"/>
          <w:rtl/>
        </w:rPr>
        <w:t>,</w:t>
      </w:r>
      <w:r w:rsidRPr="008228C8">
        <w:rPr>
          <w:rFonts w:ascii="FrankRuehl" w:eastAsia="Calibri" w:hAnsi="FrankRuehl" w:cs="FrankRuehl"/>
          <w:sz w:val="28"/>
          <w:szCs w:val="28"/>
          <w:rtl/>
        </w:rPr>
        <w:t xml:space="preserve"> כי הנאשם מבין את חומרת העבירות בהן הורשע, חווה רתיעה מהסנקציות שהוטלו עליו, והפנים את חשיבות הגבולות והציות לחוק. עדכון מגורמי הרווחה בקצרין העלה</w:t>
      </w:r>
      <w:r w:rsidR="00E55C9A">
        <w:rPr>
          <w:rFonts w:ascii="FrankRuehl" w:eastAsia="Calibri" w:hAnsi="FrankRuehl" w:cs="FrankRuehl" w:hint="cs"/>
          <w:sz w:val="28"/>
          <w:szCs w:val="28"/>
          <w:rtl/>
        </w:rPr>
        <w:t>,</w:t>
      </w:r>
      <w:r w:rsidRPr="008228C8">
        <w:rPr>
          <w:rFonts w:ascii="FrankRuehl" w:eastAsia="Calibri" w:hAnsi="FrankRuehl" w:cs="FrankRuehl"/>
          <w:sz w:val="28"/>
          <w:szCs w:val="28"/>
          <w:rtl/>
        </w:rPr>
        <w:t xml:space="preserve"> כי הנאשם מועסק במחלקת הכדורגל במתנ"ס בהיקף משרה חלקי, ובנוסף – כך הנאשם – הוא מקבל קצבת הבטחת הכנסה. קצינת המבחן העריכה כי נשקפת מהנאשם </w:t>
      </w:r>
      <w:r w:rsidR="007F427E">
        <w:rPr>
          <w:rFonts w:ascii="FrankRuehl" w:eastAsia="Calibri" w:hAnsi="FrankRuehl" w:cs="FrankRuehl" w:hint="cs"/>
          <w:sz w:val="28"/>
          <w:szCs w:val="28"/>
          <w:rtl/>
        </w:rPr>
        <w:t xml:space="preserve">מסוכנות נמוכה </w:t>
      </w:r>
      <w:r w:rsidRPr="008228C8">
        <w:rPr>
          <w:rFonts w:ascii="FrankRuehl" w:eastAsia="Calibri" w:hAnsi="FrankRuehl" w:cs="FrankRuehl"/>
          <w:sz w:val="28"/>
          <w:szCs w:val="28"/>
          <w:rtl/>
        </w:rPr>
        <w:t>להישנות התנהגות עבריינית, וכי מיצוי הדין והשתת מאסר בפועל לתקופה ארוכה עלולים לפגוע בו משמעותית ולהביא לנסיגה בתהליך השיקומי, בפרט לנוכח גילו ומצבו הבריאותי. משכך המליצה להעמיד את הנאשם בצו מבחן למשך שנה, ולהסתפק בעונש מאסר בפועל שניתן לרצות בעבודות שירות.</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111BE7" w:rsidP="00AC01DE">
      <w:pPr>
        <w:spacing w:line="360" w:lineRule="auto"/>
        <w:jc w:val="both"/>
        <w:rPr>
          <w:rFonts w:ascii="FrankRuehl" w:eastAsia="Calibri" w:hAnsi="FrankRuehl" w:cs="FrankRuehl"/>
          <w:sz w:val="28"/>
          <w:szCs w:val="28"/>
          <w:rtl/>
        </w:rPr>
      </w:pPr>
      <w:r>
        <w:rPr>
          <w:rFonts w:ascii="FrankRuehl" w:eastAsia="Calibri" w:hAnsi="FrankRuehl" w:cs="FrankRuehl" w:hint="cs"/>
          <w:sz w:val="28"/>
          <w:szCs w:val="28"/>
          <w:rtl/>
        </w:rPr>
        <w:t>3.</w:t>
      </w:r>
      <w:r w:rsidR="008228C8" w:rsidRPr="008228C8">
        <w:rPr>
          <w:rFonts w:ascii="FrankRuehl" w:eastAsia="Calibri" w:hAnsi="FrankRuehl" w:cs="FrankRuehl"/>
          <w:sz w:val="28"/>
          <w:szCs w:val="28"/>
          <w:rtl/>
        </w:rPr>
        <w:tab/>
      </w:r>
      <w:r w:rsidR="008228C8" w:rsidRPr="008228C8">
        <w:rPr>
          <w:rFonts w:ascii="FrankRuehl" w:eastAsia="Calibri" w:hAnsi="FrankRuehl" w:cs="Miriam"/>
          <w:b/>
          <w:sz w:val="28"/>
          <w:rtl/>
        </w:rPr>
        <w:t xml:space="preserve">נאשם 2: </w:t>
      </w:r>
      <w:r w:rsidR="008228C8" w:rsidRPr="008228C8">
        <w:rPr>
          <w:rFonts w:ascii="FrankRuehl" w:eastAsia="Calibri" w:hAnsi="FrankRuehl" w:cs="FrankRuehl"/>
          <w:sz w:val="28"/>
          <w:szCs w:val="28"/>
          <w:rtl/>
        </w:rPr>
        <w:t xml:space="preserve">בן כ-32, נשוי ואב לפעוטה, מתגורר במושב אניעם. הנאשם גדל במשפחה נורמטיבית, ולו 3 אחים. הוריו התגרשו בהיותו כבן 10. הוא השלים 11 שנות לימוד, אם כי לדבריו, נשירתו מבית הספר התרחשה באופן סמוי מספר שנים קודם לכן, כשנאלץ לעבוד על מנת לסייע לאמו לפרנס את המשפחה. הנאשם התגייס לצה"ל, אך פרש בחלוף חודשים אחדים, לדבריו, בשל קשיים כלכליים וכן על רקע שימוש בסמים במסגרת הצבאית. הוא עבד תקופה </w:t>
      </w:r>
      <w:r w:rsidR="00B141E5">
        <w:rPr>
          <w:rFonts w:ascii="FrankRuehl" w:eastAsia="Calibri" w:hAnsi="FrankRuehl" w:cs="FrankRuehl" w:hint="cs"/>
          <w:sz w:val="28"/>
          <w:szCs w:val="28"/>
          <w:rtl/>
        </w:rPr>
        <w:t xml:space="preserve">מסוימת </w:t>
      </w:r>
      <w:r w:rsidR="008228C8" w:rsidRPr="008228C8">
        <w:rPr>
          <w:rFonts w:ascii="FrankRuehl" w:eastAsia="Calibri" w:hAnsi="FrankRuehl" w:cs="FrankRuehl"/>
          <w:sz w:val="28"/>
          <w:szCs w:val="28"/>
          <w:rtl/>
        </w:rPr>
        <w:t>עם אביו ואחיו בחקלאות, אך העסק כשל. את רעייתו הכיר לפני כשמונה שנים, ולדבריו השניים מנהלים זוגיות טובה ויציבה. לפני כארבע שנים הקימו עסק פרטי של מעון יום לילדים, אותו סגרו בעקבות מעצרו של הנאשם. לאחר ששוחרר ממעצר</w:t>
      </w:r>
      <w:r w:rsidR="00B141E5">
        <w:rPr>
          <w:rFonts w:ascii="FrankRuehl" w:eastAsia="Calibri" w:hAnsi="FrankRuehl" w:cs="FrankRuehl" w:hint="cs"/>
          <w:sz w:val="28"/>
          <w:szCs w:val="28"/>
          <w:rtl/>
        </w:rPr>
        <w:t>,</w:t>
      </w:r>
      <w:r w:rsidR="008228C8" w:rsidRPr="008228C8">
        <w:rPr>
          <w:rFonts w:ascii="FrankRuehl" w:eastAsia="Calibri" w:hAnsi="FrankRuehl" w:cs="FrankRuehl"/>
          <w:sz w:val="28"/>
          <w:szCs w:val="28"/>
          <w:rtl/>
        </w:rPr>
        <w:t xml:space="preserve"> עקרו בני המשפחה לצפון הארץ, שם השתלב הנאשם בעבודה כשכיר במוסך, ולאחרונה </w:t>
      </w:r>
      <w:r w:rsidR="00AC01DE">
        <w:rPr>
          <w:rFonts w:ascii="FrankRuehl" w:eastAsia="Calibri" w:hAnsi="FrankRuehl" w:cs="FrankRuehl" w:hint="cs"/>
          <w:sz w:val="28"/>
          <w:szCs w:val="28"/>
          <w:rtl/>
        </w:rPr>
        <w:t xml:space="preserve">פתח </w:t>
      </w:r>
      <w:r w:rsidR="008228C8" w:rsidRPr="008228C8">
        <w:rPr>
          <w:rFonts w:ascii="FrankRuehl" w:eastAsia="Calibri" w:hAnsi="FrankRuehl" w:cs="FrankRuehl"/>
          <w:sz w:val="28"/>
          <w:szCs w:val="28"/>
          <w:rtl/>
        </w:rPr>
        <w:t>מוסך בשותפות עם אחיו הצעיר ממנו.</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8228C8">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ab/>
        <w:t>לדברי הנאשם, בגיל 16 החל לצרוך סמים מסוג קנאביס, הפסיק כשהיה משולב בשירות המבחן לנוער, ובהמשך חזר לצריכת סמים ומעורבות חברתית שולית. בשנת 2013 הופנה ליחידה לטיפול בהתמכרויות, אך לא התמיד בטיפול. בתקופה שקדמה למעצרו, צרך לדבריו קנאביס בתדירות שבועית ובהיקף נכבד. מגיליון הרישום הפלילי עולה כי לנאשם שתי הרשעות בתחום הסמים, מהשנים 2014 ו-2021.</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8228C8">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ab/>
        <w:t xml:space="preserve">במהלך מעצרו שולב הנאשם בקבוצה לעצורי בית, הגיע בזמן והשתתף באופן פעיל. הוא הודה בעבירות המיוחסות לו, והביע חרטה ואכזבה מעצמו. לטענתו, על רקע מתחים עם אביו בעקבות סגירת העסק המשותף, וכתוצאה מתחושות בדידות ועלבון, כמו גם בשל צורך כלכלי, התנהג באופן פורץ גבולות. הנאשם הביע בושה על מעשיו, וטען כי הוא מבין שהתנהג באופן </w:t>
      </w:r>
      <w:r w:rsidRPr="008228C8">
        <w:rPr>
          <w:rFonts w:ascii="FrankRuehl" w:eastAsia="Calibri" w:hAnsi="FrankRuehl" w:cs="FrankRuehl"/>
          <w:sz w:val="28"/>
          <w:szCs w:val="28"/>
          <w:rtl/>
        </w:rPr>
        <w:lastRenderedPageBreak/>
        <w:t>ילדותי, חסר אחריות וללא הפעלת שיקול דעת. לדבריו, התהליך המשפטי והנזק שהסב לבני משפחתו, גרמו לו לתחושת רתיעה.</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CD7F97">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ab/>
        <w:t>בחודש אוקטובר 2023 השתלב הנאשם ביחידה</w:t>
      </w:r>
      <w:r w:rsidR="00CD7F97">
        <w:rPr>
          <w:rFonts w:ascii="FrankRuehl" w:eastAsia="Calibri" w:hAnsi="FrankRuehl" w:cs="FrankRuehl"/>
          <w:sz w:val="28"/>
          <w:szCs w:val="28"/>
          <w:rtl/>
        </w:rPr>
        <w:t xml:space="preserve"> לטיפול בנפגעי התמכרויות בקצרין</w:t>
      </w:r>
      <w:r w:rsidR="00CD7F97">
        <w:rPr>
          <w:rFonts w:ascii="FrankRuehl" w:eastAsia="Calibri" w:hAnsi="FrankRuehl" w:cs="FrankRuehl" w:hint="cs"/>
          <w:sz w:val="28"/>
          <w:szCs w:val="28"/>
          <w:rtl/>
        </w:rPr>
        <w:t>,</w:t>
      </w:r>
      <w:r w:rsidRPr="008228C8">
        <w:rPr>
          <w:rFonts w:ascii="FrankRuehl" w:eastAsia="Calibri" w:hAnsi="FrankRuehl" w:cs="FrankRuehl"/>
          <w:sz w:val="28"/>
          <w:szCs w:val="28"/>
          <w:rtl/>
        </w:rPr>
        <w:t xml:space="preserve"> הגיע למפגשים באופן רציף, ושיתף פעולה כנדרש. במקביל עמד בקשר עם שירות המבחן. בדיקות שתן שנתן נמצאו נקיות. הוא הביע חרטה על החלטותיו, שיתף באשר להבנתו את הסיכון בחזרה לעולם העברייני וצריכת קנאביס, ולמד אודות מצבי סיכון ודרכים להימנע מהם. לדבריו, הוא מו</w:t>
      </w:r>
      <w:r w:rsidR="00CD7F97">
        <w:rPr>
          <w:rFonts w:ascii="FrankRuehl" w:eastAsia="Calibri" w:hAnsi="FrankRuehl" w:cs="FrankRuehl" w:hint="cs"/>
          <w:sz w:val="28"/>
          <w:szCs w:val="28"/>
          <w:rtl/>
        </w:rPr>
        <w:t>ּ</w:t>
      </w:r>
      <w:r w:rsidRPr="008228C8">
        <w:rPr>
          <w:rFonts w:ascii="FrankRuehl" w:eastAsia="Calibri" w:hAnsi="FrankRuehl" w:cs="FrankRuehl"/>
          <w:sz w:val="28"/>
          <w:szCs w:val="28"/>
          <w:rtl/>
        </w:rPr>
        <w:t>נע מרצון לשמור על התא המשפחתי, להיות נוכח ומשמעותי כהורה וכבן זוג, ולשמור על העסק המצליח שהקים לאחרונה. הנאשם הביע רצון להמשיך בטיפול פרטני, במטרה לאפשר לו לשמור על ניקיונו מסמים. לנוכח התרשמותה של קצינת המבחן משיתוף הפעולה של הנאשם בטיפול, לקיחת אחריות על העבירות שביצע, ונכונותו לעבור שינוי, ועל רקע הערכתה כי ככל שיתמיד בטיפול הוא יפיק ממנו תועלת ותפחת המסוכנות הנשקפת ממנו, המליצה להעמיד את הנאשם בצו מבחן למשך שנה, ולגזור את עונשו למאסר בפועל שניתן לרצות בדרך של עבודות שירות.</w:t>
      </w:r>
    </w:p>
    <w:p w:rsidR="008228C8" w:rsidRDefault="008228C8" w:rsidP="008228C8">
      <w:pPr>
        <w:spacing w:line="360" w:lineRule="auto"/>
        <w:jc w:val="both"/>
        <w:rPr>
          <w:rFonts w:ascii="FrankRuehl" w:eastAsia="Calibri" w:hAnsi="FrankRuehl" w:cs="FrankRuehl"/>
          <w:sz w:val="28"/>
          <w:szCs w:val="28"/>
          <w:rtl/>
        </w:rPr>
      </w:pPr>
    </w:p>
    <w:p w:rsidR="005E6F3F" w:rsidRPr="00981BF8" w:rsidRDefault="005E6F3F" w:rsidP="008228C8">
      <w:pPr>
        <w:spacing w:line="360" w:lineRule="auto"/>
        <w:jc w:val="both"/>
        <w:rPr>
          <w:rFonts w:ascii="FrankRuehl" w:eastAsia="Calibri" w:hAnsi="FrankRuehl" w:cs="Miriam"/>
          <w:b/>
          <w:sz w:val="28"/>
          <w:rtl/>
        </w:rPr>
      </w:pPr>
      <w:r w:rsidRPr="00981BF8">
        <w:rPr>
          <w:rFonts w:ascii="FrankRuehl" w:eastAsia="Calibri" w:hAnsi="FrankRuehl" w:cs="Miriam" w:hint="cs"/>
          <w:b/>
          <w:sz w:val="28"/>
          <w:rtl/>
        </w:rPr>
        <w:t xml:space="preserve">טיעוני הצדדים לעונש </w:t>
      </w:r>
    </w:p>
    <w:p w:rsidR="005E6F3F" w:rsidRPr="00981BF8" w:rsidRDefault="005E6F3F" w:rsidP="008228C8">
      <w:pPr>
        <w:spacing w:line="360" w:lineRule="auto"/>
        <w:jc w:val="both"/>
        <w:rPr>
          <w:rFonts w:ascii="FrankRuehl" w:eastAsia="Calibri" w:hAnsi="FrankRuehl" w:cs="Miriam"/>
          <w:b/>
          <w:sz w:val="28"/>
          <w:rtl/>
        </w:rPr>
      </w:pPr>
    </w:p>
    <w:p w:rsidR="008228C8" w:rsidRPr="008228C8" w:rsidRDefault="005E6F3F" w:rsidP="008228C8">
      <w:pPr>
        <w:spacing w:line="360" w:lineRule="auto"/>
        <w:jc w:val="both"/>
        <w:rPr>
          <w:rFonts w:ascii="FrankRuehl" w:eastAsia="Calibri" w:hAnsi="FrankRuehl" w:cs="FrankRuehl"/>
          <w:sz w:val="28"/>
          <w:szCs w:val="28"/>
          <w:rtl/>
        </w:rPr>
      </w:pPr>
      <w:r>
        <w:rPr>
          <w:rFonts w:ascii="FrankRuehl" w:eastAsia="Calibri" w:hAnsi="FrankRuehl" w:cs="FrankRuehl" w:hint="cs"/>
          <w:sz w:val="28"/>
          <w:szCs w:val="28"/>
          <w:rtl/>
        </w:rPr>
        <w:t>4</w:t>
      </w:r>
      <w:r w:rsidR="008228C8" w:rsidRPr="008228C8">
        <w:rPr>
          <w:rFonts w:ascii="FrankRuehl" w:eastAsia="Calibri" w:hAnsi="FrankRuehl" w:cs="FrankRuehl"/>
          <w:sz w:val="28"/>
          <w:szCs w:val="28"/>
          <w:rtl/>
        </w:rPr>
        <w:t>.</w:t>
      </w:r>
      <w:r w:rsidR="008228C8" w:rsidRPr="008228C8">
        <w:rPr>
          <w:rFonts w:ascii="FrankRuehl" w:eastAsia="Calibri" w:hAnsi="FrankRuehl" w:cs="FrankRuehl"/>
          <w:sz w:val="28"/>
          <w:szCs w:val="28"/>
          <w:rtl/>
        </w:rPr>
        <w:tab/>
        <w:t xml:space="preserve">בפתח ישיבת הטיעונים לעונש ביקש ב"כ הנאשמים להפנותם לממונה על עבודות שירות. לאחר שנשמעו הערות בית המשפט, בחר לשמור בקשתו לטיעונים גופם. ב"כ המאשימה עמדה על חומרתן של העבירות שביצעו הנאשמים, התכנון המוקדם והמוקפד, כמות השתילים שנתפסו, המלמדת על פוטנציאל הרווח ומידת הסיכון. השניים הקימו מעין עסק משפחתי מפוקפק, שנועד להשיא להם רווחים. היא הפנתה לפסיקה להמחשת מדיניות הענישה, וביקשה לקבוע את מתחם העונש לנאשם 1 בין 54-36 חודשי מאסר בפועל, ולנאשם 2 בין 48-20 חודשי מאסר בפועל. בהתחשב בנסיבותיו האישיות של הנאשם 1 כפי שעלו מתסקירי המבחן, הודאתו והיעדר הרשעות קודמות, כמו גם שיתוף הפעולה בטיפול, ביקשה לגזור את עונשו בתחתית המתחם, ל-36 חודשי מאסר בפועל, מאסר על-תנאי, קנס, פסילת רישיון הנהיגה בפועל ועל תנאי. בעניינו של הנאשם 2 הוגש גיליון רישום פלילי (עת/1). לחובתו שתי הרשעות קודמות ורלוונטיות, בגין האחרונה בהן תלוי נגדו מאסר מותנה בר הפעלה בן 4 חודשים (עת/2). מכאן, ביקשה לגזור את עונשו ל-28 חודשי מאסר בפועל, כולל הפעלת המאסר על-תנאי, להפעיל פסילת רישיון נהיגה מותנית, ועליהם להוסיף מאסר על-תנאי, קנס, ופסילת רישיון </w:t>
      </w:r>
      <w:r w:rsidR="002B1F00">
        <w:rPr>
          <w:rFonts w:ascii="FrankRuehl" w:eastAsia="Calibri" w:hAnsi="FrankRuehl" w:cs="FrankRuehl" w:hint="cs"/>
          <w:sz w:val="28"/>
          <w:szCs w:val="28"/>
          <w:rtl/>
        </w:rPr>
        <w:t>ה</w:t>
      </w:r>
      <w:r w:rsidR="008228C8" w:rsidRPr="008228C8">
        <w:rPr>
          <w:rFonts w:ascii="FrankRuehl" w:eastAsia="Calibri" w:hAnsi="FrankRuehl" w:cs="FrankRuehl"/>
          <w:sz w:val="28"/>
          <w:szCs w:val="28"/>
          <w:rtl/>
        </w:rPr>
        <w:t>נהיגה בפועל ועל-תנאי. כן ביקשה להכריז על הנאשמים כסוחרי סמים, ולחלט את הכספים ומכשירי הטלפון המפורטים בבקשת החילוט בסיפא לכתב האישום.</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CB74B5" w:rsidP="00256382">
      <w:pPr>
        <w:spacing w:line="360" w:lineRule="auto"/>
        <w:jc w:val="both"/>
        <w:rPr>
          <w:rFonts w:ascii="FrankRuehl" w:eastAsia="Calibri" w:hAnsi="FrankRuehl" w:cs="FrankRuehl"/>
          <w:sz w:val="28"/>
          <w:szCs w:val="28"/>
          <w:rtl/>
        </w:rPr>
      </w:pPr>
      <w:r>
        <w:rPr>
          <w:rFonts w:ascii="FrankRuehl" w:eastAsia="Calibri" w:hAnsi="FrankRuehl" w:cs="FrankRuehl" w:hint="cs"/>
          <w:sz w:val="28"/>
          <w:szCs w:val="28"/>
          <w:rtl/>
        </w:rPr>
        <w:t>5</w:t>
      </w:r>
      <w:r w:rsidR="008228C8" w:rsidRPr="008228C8">
        <w:rPr>
          <w:rFonts w:ascii="FrankRuehl" w:eastAsia="Calibri" w:hAnsi="FrankRuehl" w:cs="FrankRuehl"/>
          <w:sz w:val="28"/>
          <w:szCs w:val="28"/>
          <w:rtl/>
        </w:rPr>
        <w:t>.</w:t>
      </w:r>
      <w:r w:rsidR="008228C8" w:rsidRPr="008228C8">
        <w:rPr>
          <w:rFonts w:ascii="FrankRuehl" w:eastAsia="Calibri" w:hAnsi="FrankRuehl" w:cs="FrankRuehl"/>
          <w:sz w:val="28"/>
          <w:szCs w:val="28"/>
          <w:rtl/>
        </w:rPr>
        <w:tab/>
        <w:t>בהתייחסותו לחומרת העבירות ביקש ב"כ הנאשמים ליתן משקל בכורה למשקל הסמים</w:t>
      </w:r>
      <w:r w:rsidR="00256382">
        <w:rPr>
          <w:rFonts w:ascii="FrankRuehl" w:eastAsia="Calibri" w:hAnsi="FrankRuehl" w:cs="FrankRuehl" w:hint="cs"/>
          <w:sz w:val="28"/>
          <w:szCs w:val="28"/>
          <w:rtl/>
        </w:rPr>
        <w:t>,</w:t>
      </w:r>
      <w:r w:rsidR="008228C8" w:rsidRPr="008228C8">
        <w:rPr>
          <w:rFonts w:ascii="FrankRuehl" w:eastAsia="Calibri" w:hAnsi="FrankRuehl" w:cs="FrankRuehl"/>
          <w:sz w:val="28"/>
          <w:szCs w:val="28"/>
          <w:rtl/>
        </w:rPr>
        <w:t xml:space="preserve"> </w:t>
      </w:r>
      <w:r w:rsidR="00256382">
        <w:rPr>
          <w:rFonts w:ascii="FrankRuehl" w:eastAsia="Calibri" w:hAnsi="FrankRuehl" w:cs="FrankRuehl" w:hint="cs"/>
          <w:sz w:val="28"/>
          <w:szCs w:val="28"/>
          <w:rtl/>
        </w:rPr>
        <w:t xml:space="preserve">במוּבחן </w:t>
      </w:r>
      <w:r w:rsidR="008228C8" w:rsidRPr="008228C8">
        <w:rPr>
          <w:rFonts w:ascii="FrankRuehl" w:eastAsia="Calibri" w:hAnsi="FrankRuehl" w:cs="FrankRuehl"/>
          <w:sz w:val="28"/>
          <w:szCs w:val="28"/>
          <w:rtl/>
        </w:rPr>
        <w:t xml:space="preserve">מכמות השתילים. חישוב פשוט מגלה כי סם במשקל כולל של 8.4 ק"ג בחלוקה לכ-10,000 שתילים, מביא לתוצאה לפיה משקלו של שתיל בודד נופל בממוצע מגרם אחד. לשיטת ההגנה, המשמעות היא שכל שתיל שווה ערך לעלה אחד, ובמצב דברים זה, הפרמטר של כמות השתילים פחוּת במידה ניכרת מזה של משקלם הכולל. לתמיכה בטענתו הפנה לת"פ (שלום ת"א) 8677-07-21 </w:t>
      </w:r>
      <w:r w:rsidR="008228C8" w:rsidRPr="008228C8">
        <w:rPr>
          <w:rFonts w:ascii="FrankRuehl" w:eastAsia="Calibri" w:hAnsi="FrankRuehl" w:cs="Miriam"/>
          <w:b/>
          <w:sz w:val="28"/>
          <w:rtl/>
        </w:rPr>
        <w:t xml:space="preserve">מדינת ישראל נ' גולן </w:t>
      </w:r>
      <w:r w:rsidR="008228C8" w:rsidRPr="008228C8">
        <w:rPr>
          <w:rFonts w:ascii="FrankRuehl" w:eastAsia="Calibri" w:hAnsi="FrankRuehl" w:cs="FrankRuehl"/>
          <w:sz w:val="28"/>
          <w:szCs w:val="28"/>
          <w:rtl/>
        </w:rPr>
        <w:t xml:space="preserve">(2.11.22, לא פורסם, להלן: </w:t>
      </w:r>
      <w:r w:rsidR="008228C8" w:rsidRPr="008228C8">
        <w:rPr>
          <w:rFonts w:ascii="FrankRuehl" w:eastAsia="Calibri" w:hAnsi="FrankRuehl" w:cs="Miriam"/>
          <w:b/>
          <w:sz w:val="28"/>
          <w:rtl/>
        </w:rPr>
        <w:t>ענין גולן</w:t>
      </w:r>
      <w:r w:rsidR="008228C8" w:rsidRPr="008228C8">
        <w:rPr>
          <w:rFonts w:ascii="FrankRuehl" w:eastAsia="Calibri" w:hAnsi="FrankRuehl" w:cs="FrankRuehl"/>
          <w:sz w:val="28"/>
          <w:szCs w:val="28"/>
          <w:rtl/>
        </w:rPr>
        <w:t xml:space="preserve">), וכן לת"פ (נתניה) 58944-08-21 </w:t>
      </w:r>
      <w:r w:rsidR="008228C8" w:rsidRPr="008228C8">
        <w:rPr>
          <w:rFonts w:ascii="FrankRuehl" w:eastAsia="Calibri" w:hAnsi="FrankRuehl" w:cs="Miriam"/>
          <w:b/>
          <w:sz w:val="28"/>
          <w:rtl/>
        </w:rPr>
        <w:t xml:space="preserve">מדינת ישראל נ' חג'ג' </w:t>
      </w:r>
      <w:r w:rsidR="008228C8" w:rsidRPr="008228C8">
        <w:rPr>
          <w:rFonts w:ascii="FrankRuehl" w:eastAsia="Calibri" w:hAnsi="FrankRuehl" w:cs="FrankRuehl"/>
          <w:sz w:val="28"/>
          <w:szCs w:val="28"/>
          <w:rtl/>
        </w:rPr>
        <w:t xml:space="preserve">(24.1.24, להלן: </w:t>
      </w:r>
      <w:r w:rsidR="008228C8" w:rsidRPr="008228C8">
        <w:rPr>
          <w:rFonts w:ascii="FrankRuehl" w:eastAsia="Calibri" w:hAnsi="FrankRuehl" w:cs="Miriam"/>
          <w:b/>
          <w:sz w:val="28"/>
          <w:rtl/>
        </w:rPr>
        <w:t>ענין חג'ג'</w:t>
      </w:r>
      <w:r w:rsidR="008228C8" w:rsidRPr="008228C8">
        <w:rPr>
          <w:rFonts w:ascii="FrankRuehl" w:eastAsia="Calibri" w:hAnsi="FrankRuehl" w:cs="FrankRuehl"/>
          <w:sz w:val="28"/>
          <w:szCs w:val="28"/>
          <w:rtl/>
        </w:rPr>
        <w:t xml:space="preserve">). אשר לאישום השני, הואיל ומדובר בעסקה אחרת ולא בעבירת סחר, הרי שאין אינדיקציה לכך שהנאשמים קיבלו בפועל תמורה כספית בגין הכנת מגשי הקנאביס, אם כי אין חולק על כך שהעבירות בוצעו מתוך ציפייה לקבל את תמורתן. עוד ביקש לערוך הבחנה בין הנאשמים בשני האישומים – כך שבאישום הראשון הנאשם 2 הורשע כמסייע לנאשם 1, ובאישום השני הנאשם 2 ביצע עבירה אחת של עסקה אחרת, בעוד הנאשם 1 הורשע בריבוי עבירות. </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8228C8">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ab/>
        <w:t xml:space="preserve">ב"כ הנאשמים ביקש לקבוע לכל אחד מהנאשמים מתחם ענישה שתחתיתו בעונש מאסר בפועל שניתן לרצות בדרך של עבודות שירות, כשבעניינו של הנאשם 2, שחלקו נמוך יותר, ביקש לקבוע את תחתית המתחם במספר חודשי מאסר בודדים לריצוי בעבודות שירות. לחלופין, ביקש להתחשב בנסיבותיהם האישיות של הנאשמים ובהמלצות שירות המבחן, ולסטות לקולה מהמתחמים באופן שיאפשר לנאשמים לרצות עונשם בעבודות שירות. לתמיכה בבקשתו הפנה לאסופת פסקי דין, בהם מצאו בתי המשפט לחרוג לקולה ממתחמי העונש משיקולי שיקום. </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8228C8">
      <w:pPr>
        <w:spacing w:line="360" w:lineRule="auto"/>
        <w:ind w:firstLine="720"/>
        <w:jc w:val="both"/>
        <w:rPr>
          <w:rFonts w:ascii="FrankRuehl" w:eastAsia="Calibri" w:hAnsi="FrankRuehl" w:cs="FrankRuehl"/>
          <w:sz w:val="28"/>
          <w:szCs w:val="28"/>
          <w:rtl/>
        </w:rPr>
      </w:pPr>
      <w:r w:rsidRPr="008228C8">
        <w:rPr>
          <w:rFonts w:ascii="FrankRuehl" w:eastAsia="Calibri" w:hAnsi="FrankRuehl" w:cs="FrankRuehl"/>
          <w:sz w:val="28"/>
          <w:szCs w:val="28"/>
          <w:rtl/>
        </w:rPr>
        <w:t>הנאשם 1 – בן 60, חי חיים נורמטיביים, והאירוע חריג לאורחות חייו. מעצרו וההליך הפלילי שבעקבותיו גרמו לו לטראומה. בסמוך לשחרורו ממעצר לקה בלבו, נותח בניתוח מעקפים והשתלת קוצב לב (הוגש תיעוד רפואי – ענ/1). הנאשם משתתף בהצלחה בהליך טיפולי בשירות המבחן, מצא עבודה, נתון בזוגיות חיובית ותומכת. המלצת שירות המבחן ראויה ומבוססת, ומשכך ביקש לאמצה.</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8228C8">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ab/>
        <w:t xml:space="preserve">הנאשם 2 נרתם לטיפול, ועבר הליך שיקומי מרשים. אמנם, מדובר במי שביצע את העבירות מושא ההליך דנן חודשים אחדים לאחר שהורשע בהחזקת סמים שלא לצריכה עצמית, אלא שהנאשם היה מכור שנים רבות לקנאביס, ורק בעקבות מעצרו כאן השכיל לשנות מדרכיו. הנאשם נישא, הוא אב לשני פעוטות, מנהל זוגיות יציבה, מפרנס את משפחתו בעבודה פיזית </w:t>
      </w:r>
      <w:r w:rsidRPr="008228C8">
        <w:rPr>
          <w:rFonts w:ascii="FrankRuehl" w:eastAsia="Calibri" w:hAnsi="FrankRuehl" w:cs="FrankRuehl"/>
          <w:sz w:val="28"/>
          <w:szCs w:val="28"/>
          <w:rtl/>
        </w:rPr>
        <w:lastRenderedPageBreak/>
        <w:t xml:space="preserve">בעסק עצמאי שהקים. הנאשם חדל להשתמש בסמים, </w:t>
      </w:r>
      <w:r w:rsidR="00DB06B6">
        <w:rPr>
          <w:rFonts w:ascii="FrankRuehl" w:eastAsia="Calibri" w:hAnsi="FrankRuehl" w:cs="FrankRuehl" w:hint="cs"/>
          <w:sz w:val="28"/>
          <w:szCs w:val="28"/>
          <w:rtl/>
        </w:rPr>
        <w:t>ו</w:t>
      </w:r>
      <w:r w:rsidRPr="008228C8">
        <w:rPr>
          <w:rFonts w:ascii="FrankRuehl" w:eastAsia="Calibri" w:hAnsi="FrankRuehl" w:cs="FrankRuehl"/>
          <w:sz w:val="28"/>
          <w:szCs w:val="28"/>
          <w:rtl/>
        </w:rPr>
        <w:t>בדיקות שנתן נמצאו נקיות כולן. הוא קם מדי בוקר לעמל יומו, שב לביתו ומטפל בילדיו. המדובר בשינוי קיצוני של אורח חייו, אשר קודם לכן סבב סביב צריכת קנאביס. עוד ביקש לתת משקל לאופן בו הנאשם ומשפחתו הצעירה עקרו את חייהם לצפון הארץ, בהתנתקות מהסביבה בה חי</w:t>
      </w:r>
      <w:r w:rsidR="00E20386">
        <w:rPr>
          <w:rFonts w:ascii="FrankRuehl" w:eastAsia="Calibri" w:hAnsi="FrankRuehl" w:cs="FrankRuehl" w:hint="cs"/>
          <w:sz w:val="28"/>
          <w:szCs w:val="28"/>
          <w:rtl/>
        </w:rPr>
        <w:t>ו</w:t>
      </w:r>
      <w:r w:rsidRPr="008228C8">
        <w:rPr>
          <w:rFonts w:ascii="FrankRuehl" w:eastAsia="Calibri" w:hAnsi="FrankRuehl" w:cs="FrankRuehl"/>
          <w:sz w:val="28"/>
          <w:szCs w:val="28"/>
          <w:rtl/>
        </w:rPr>
        <w:t xml:space="preserve"> שנים רבות. גם בעניינו של הנאשם 2 ביקש לאמץ את המלצת שירות המבחן.</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4954" w:rsidP="008228C8">
      <w:pPr>
        <w:spacing w:line="360" w:lineRule="auto"/>
        <w:jc w:val="both"/>
        <w:rPr>
          <w:rFonts w:ascii="FrankRuehl" w:eastAsia="Calibri" w:hAnsi="FrankRuehl" w:cs="FrankRuehl"/>
          <w:sz w:val="28"/>
          <w:szCs w:val="28"/>
          <w:rtl/>
        </w:rPr>
      </w:pPr>
      <w:r>
        <w:rPr>
          <w:rFonts w:ascii="FrankRuehl" w:eastAsia="Calibri" w:hAnsi="FrankRuehl" w:cs="FrankRuehl" w:hint="cs"/>
          <w:sz w:val="28"/>
          <w:szCs w:val="28"/>
          <w:rtl/>
        </w:rPr>
        <w:t>6</w:t>
      </w:r>
      <w:r w:rsidR="008228C8" w:rsidRPr="008228C8">
        <w:rPr>
          <w:rFonts w:ascii="FrankRuehl" w:eastAsia="Calibri" w:hAnsi="FrankRuehl" w:cs="FrankRuehl"/>
          <w:sz w:val="28"/>
          <w:szCs w:val="28"/>
          <w:rtl/>
        </w:rPr>
        <w:t>.</w:t>
      </w:r>
      <w:r w:rsidR="008228C8" w:rsidRPr="008228C8">
        <w:rPr>
          <w:rFonts w:ascii="FrankRuehl" w:eastAsia="Calibri" w:hAnsi="FrankRuehl" w:cs="FrankRuehl"/>
          <w:sz w:val="28"/>
          <w:szCs w:val="28"/>
          <w:rtl/>
        </w:rPr>
        <w:tab/>
        <w:t>לדברי הנאשם 1, הוא ביצע "טעות גדולה", עליה שילם בבריאותו. הוא סיפר כי הוא עובד כמנהל מתחם ליגת הנוער במגרש הכדורגל בקצרין, והתחייב לא לבצע עבירות נוספות.</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8228C8">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ab/>
        <w:t>הנאשם 2 שיתף כי "עברתי שנתיים די אינטנסיביות". לדבריו, הפסיק לחלוטין להשתמש בסמים, נולד לו ילד שני, והוא עובד מן הבוקר עד הצוהריים, אז הוא אוסף את בתו מהגן, מטייל עמה במושב, ונהנה מחיי משפחה וחברה. חייו כיום מהווים שינוי מהותי לעומת דרך חייו הקודמת, מסלול "הכי יציב שהיה לי בחיים", והוא הביע תקווה להימנע מעונש מאסר, שיקלקל את שבנה.</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8228C8">
      <w:pPr>
        <w:spacing w:line="360" w:lineRule="auto"/>
        <w:jc w:val="both"/>
        <w:rPr>
          <w:rFonts w:ascii="FrankRuehl" w:eastAsia="Calibri" w:hAnsi="FrankRuehl" w:cs="FrankRuehl"/>
          <w:sz w:val="28"/>
          <w:szCs w:val="28"/>
          <w:rtl/>
        </w:rPr>
      </w:pPr>
      <w:r w:rsidRPr="008228C8">
        <w:rPr>
          <w:rFonts w:ascii="FrankRuehl" w:eastAsia="Calibri" w:hAnsi="FrankRuehl" w:cs="Miriam"/>
          <w:b/>
          <w:sz w:val="28"/>
          <w:rtl/>
        </w:rPr>
        <w:t>דיון</w:t>
      </w:r>
    </w:p>
    <w:p w:rsidR="008228C8" w:rsidRPr="008228C8" w:rsidRDefault="008228C8" w:rsidP="008228C8">
      <w:pPr>
        <w:spacing w:line="360" w:lineRule="auto"/>
        <w:jc w:val="both"/>
        <w:rPr>
          <w:rFonts w:ascii="FrankRuehl" w:eastAsia="Calibri" w:hAnsi="FrankRuehl" w:cs="FrankRuehl"/>
          <w:sz w:val="28"/>
          <w:szCs w:val="28"/>
          <w:rtl/>
        </w:rPr>
      </w:pPr>
    </w:p>
    <w:p w:rsidR="008228C8" w:rsidRDefault="004C7FD0" w:rsidP="00800AD6">
      <w:pPr>
        <w:spacing w:line="360" w:lineRule="auto"/>
        <w:jc w:val="both"/>
        <w:rPr>
          <w:rFonts w:ascii="FrankRuehl" w:eastAsia="Calibri" w:hAnsi="FrankRuehl" w:cs="FrankRuehl"/>
          <w:sz w:val="28"/>
          <w:szCs w:val="28"/>
          <w:rtl/>
        </w:rPr>
      </w:pPr>
      <w:r>
        <w:rPr>
          <w:rFonts w:ascii="FrankRuehl" w:eastAsia="Calibri" w:hAnsi="FrankRuehl" w:cs="FrankRuehl" w:hint="cs"/>
          <w:sz w:val="28"/>
          <w:szCs w:val="28"/>
          <w:rtl/>
        </w:rPr>
        <w:t>7</w:t>
      </w:r>
      <w:r w:rsidR="008228C8" w:rsidRPr="008228C8">
        <w:rPr>
          <w:rFonts w:ascii="FrankRuehl" w:eastAsia="Calibri" w:hAnsi="FrankRuehl" w:cs="FrankRuehl"/>
          <w:sz w:val="28"/>
          <w:szCs w:val="28"/>
          <w:rtl/>
        </w:rPr>
        <w:t>.</w:t>
      </w:r>
      <w:r w:rsidR="008228C8" w:rsidRPr="008228C8">
        <w:rPr>
          <w:rFonts w:ascii="FrankRuehl" w:eastAsia="Calibri" w:hAnsi="FrankRuehl" w:cs="FrankRuehl"/>
          <w:sz w:val="28"/>
          <w:szCs w:val="28"/>
          <w:rtl/>
        </w:rPr>
        <w:tab/>
      </w:r>
      <w:r>
        <w:rPr>
          <w:rFonts w:ascii="FrankRuehl" w:eastAsia="Calibri" w:hAnsi="FrankRuehl" w:cs="FrankRuehl" w:hint="cs"/>
          <w:sz w:val="28"/>
          <w:szCs w:val="28"/>
          <w:rtl/>
        </w:rPr>
        <w:t xml:space="preserve">מערכת אכיפת החוק נאבקת מזה שנים בבעיית הסמים המסוכנים על שלל מופעיה </w:t>
      </w:r>
      <w:r>
        <w:rPr>
          <w:rFonts w:ascii="FrankRuehl" w:eastAsia="Calibri" w:hAnsi="FrankRuehl" w:cs="FrankRuehl"/>
          <w:sz w:val="28"/>
          <w:szCs w:val="28"/>
          <w:rtl/>
        </w:rPr>
        <w:t>–</w:t>
      </w:r>
      <w:r>
        <w:rPr>
          <w:rFonts w:ascii="FrankRuehl" w:eastAsia="Calibri" w:hAnsi="FrankRuehl" w:cs="FrankRuehl" w:hint="cs"/>
          <w:sz w:val="28"/>
          <w:szCs w:val="28"/>
          <w:rtl/>
        </w:rPr>
        <w:t xml:space="preserve"> גידול,</w:t>
      </w:r>
      <w:r w:rsidR="000B2D9D">
        <w:rPr>
          <w:rFonts w:ascii="FrankRuehl" w:eastAsia="Calibri" w:hAnsi="FrankRuehl" w:cs="FrankRuehl" w:hint="cs"/>
          <w:sz w:val="28"/>
          <w:szCs w:val="28"/>
          <w:rtl/>
        </w:rPr>
        <w:t xml:space="preserve"> סחר, החזקה, </w:t>
      </w:r>
      <w:r w:rsidR="009C19C5">
        <w:rPr>
          <w:rFonts w:ascii="FrankRuehl" w:eastAsia="Calibri" w:hAnsi="FrankRuehl" w:cs="FrankRuehl" w:hint="cs"/>
          <w:sz w:val="28"/>
          <w:szCs w:val="28"/>
          <w:rtl/>
        </w:rPr>
        <w:t>ה</w:t>
      </w:r>
      <w:r>
        <w:rPr>
          <w:rFonts w:ascii="FrankRuehl" w:eastAsia="Calibri" w:hAnsi="FrankRuehl" w:cs="FrankRuehl" w:hint="cs"/>
          <w:sz w:val="28"/>
          <w:szCs w:val="28"/>
          <w:rtl/>
        </w:rPr>
        <w:t xml:space="preserve">ספקה, ייבוא ועוד. עבירות אלו </w:t>
      </w:r>
      <w:r w:rsidR="008228C8" w:rsidRPr="008228C8">
        <w:rPr>
          <w:rFonts w:ascii="FrankRuehl" w:eastAsia="Calibri" w:hAnsi="FrankRuehl" w:cs="FrankRuehl"/>
          <w:sz w:val="28"/>
          <w:szCs w:val="28"/>
          <w:rtl/>
        </w:rPr>
        <w:t>מסכנ</w:t>
      </w:r>
      <w:r>
        <w:rPr>
          <w:rFonts w:ascii="FrankRuehl" w:eastAsia="Calibri" w:hAnsi="FrankRuehl" w:cs="FrankRuehl" w:hint="cs"/>
          <w:sz w:val="28"/>
          <w:szCs w:val="28"/>
          <w:rtl/>
        </w:rPr>
        <w:t>ו</w:t>
      </w:r>
      <w:r w:rsidR="008228C8" w:rsidRPr="008228C8">
        <w:rPr>
          <w:rFonts w:ascii="FrankRuehl" w:eastAsia="Calibri" w:hAnsi="FrankRuehl" w:cs="FrankRuehl"/>
          <w:sz w:val="28"/>
          <w:szCs w:val="28"/>
          <w:rtl/>
        </w:rPr>
        <w:t>ת</w:t>
      </w:r>
      <w:r w:rsidR="00675902">
        <w:rPr>
          <w:rFonts w:ascii="FrankRuehl" w:eastAsia="Calibri" w:hAnsi="FrankRuehl" w:cs="FrankRuehl" w:hint="cs"/>
          <w:sz w:val="28"/>
          <w:szCs w:val="28"/>
          <w:rtl/>
        </w:rPr>
        <w:t xml:space="preserve"> את</w:t>
      </w:r>
      <w:r w:rsidR="008228C8" w:rsidRPr="008228C8">
        <w:rPr>
          <w:rFonts w:ascii="FrankRuehl" w:eastAsia="Calibri" w:hAnsi="FrankRuehl" w:cs="FrankRuehl"/>
          <w:sz w:val="28"/>
          <w:szCs w:val="28"/>
          <w:rtl/>
        </w:rPr>
        <w:t xml:space="preserve"> </w:t>
      </w:r>
      <w:r>
        <w:rPr>
          <w:rFonts w:ascii="FrankRuehl" w:eastAsia="Calibri" w:hAnsi="FrankRuehl" w:cs="FrankRuehl" w:hint="cs"/>
          <w:sz w:val="28"/>
          <w:szCs w:val="28"/>
          <w:rtl/>
        </w:rPr>
        <w:t>שלומו של הציבור ובריאותו</w:t>
      </w:r>
      <w:r w:rsidR="00800AD6">
        <w:rPr>
          <w:rFonts w:ascii="FrankRuehl" w:eastAsia="Calibri" w:hAnsi="FrankRuehl" w:cs="FrankRuehl" w:hint="cs"/>
          <w:sz w:val="28"/>
          <w:szCs w:val="28"/>
          <w:rtl/>
        </w:rPr>
        <w:t>,</w:t>
      </w:r>
      <w:r>
        <w:rPr>
          <w:rFonts w:ascii="FrankRuehl" w:eastAsia="Calibri" w:hAnsi="FrankRuehl" w:cs="FrankRuehl" w:hint="cs"/>
          <w:sz w:val="28"/>
          <w:szCs w:val="28"/>
          <w:rtl/>
        </w:rPr>
        <w:t xml:space="preserve"> </w:t>
      </w:r>
      <w:r>
        <w:rPr>
          <w:rFonts w:ascii="FrankRuehl" w:eastAsia="Calibri" w:hAnsi="FrankRuehl" w:cs="FrankRuehl"/>
          <w:sz w:val="28"/>
          <w:szCs w:val="28"/>
          <w:rtl/>
        </w:rPr>
        <w:t>מ</w:t>
      </w:r>
      <w:r w:rsidR="00800AD6">
        <w:rPr>
          <w:rFonts w:ascii="FrankRuehl" w:eastAsia="Calibri" w:hAnsi="FrankRuehl" w:cs="FrankRuehl" w:hint="cs"/>
          <w:sz w:val="28"/>
          <w:szCs w:val="28"/>
          <w:rtl/>
        </w:rPr>
        <w:t xml:space="preserve">גבירות את הפשיעה בהיותן </w:t>
      </w:r>
      <w:r w:rsidR="008228C8" w:rsidRPr="008228C8">
        <w:rPr>
          <w:rFonts w:ascii="FrankRuehl" w:eastAsia="Calibri" w:hAnsi="FrankRuehl" w:cs="FrankRuehl"/>
          <w:sz w:val="28"/>
          <w:szCs w:val="28"/>
          <w:rtl/>
        </w:rPr>
        <w:t>זרז לביצוע עבירות נוספות</w:t>
      </w:r>
      <w:r w:rsidR="00800AD6">
        <w:rPr>
          <w:rFonts w:ascii="FrankRuehl" w:eastAsia="Calibri" w:hAnsi="FrankRuehl" w:cs="FrankRuehl" w:hint="cs"/>
          <w:sz w:val="28"/>
          <w:szCs w:val="28"/>
          <w:rtl/>
        </w:rPr>
        <w:t>, ומסבות נזקים לכלכלה ולחברה</w:t>
      </w:r>
      <w:r w:rsidR="008228C8" w:rsidRPr="008228C8">
        <w:rPr>
          <w:rFonts w:ascii="FrankRuehl" w:eastAsia="Calibri" w:hAnsi="FrankRuehl" w:cs="FrankRuehl"/>
          <w:sz w:val="28"/>
          <w:szCs w:val="28"/>
          <w:rtl/>
        </w:rPr>
        <w:t xml:space="preserve">: </w:t>
      </w:r>
      <w:r w:rsidR="008228C8" w:rsidRPr="008228C8">
        <w:rPr>
          <w:rFonts w:ascii="Miriam" w:eastAsia="Calibri" w:hAnsi="Miriam" w:cs="Miriam"/>
          <w:rtl/>
        </w:rPr>
        <w:t>"עבירות הסמים הפכו זה מכבר לנגע הפוגע בציבור המשתמשים ובחברה בכללותה, ויש לעשות הכל על מנת למגרן ולעקרן מן השורש, גם בדרך של ענישה קשה ומחמירה"</w:t>
      </w:r>
      <w:r w:rsidR="008228C8" w:rsidRPr="008228C8">
        <w:rPr>
          <w:rFonts w:ascii="FrankRuehl" w:eastAsia="Calibri" w:hAnsi="FrankRuehl" w:cs="FrankRuehl"/>
          <w:sz w:val="28"/>
          <w:szCs w:val="28"/>
          <w:rtl/>
        </w:rPr>
        <w:t xml:space="preserve"> – רע"פ 6869/17 </w:t>
      </w:r>
      <w:r w:rsidR="008228C8" w:rsidRPr="008228C8">
        <w:rPr>
          <w:rFonts w:ascii="FrankRuehl" w:eastAsia="Calibri" w:hAnsi="FrankRuehl" w:cs="Miriam"/>
          <w:sz w:val="28"/>
          <w:rtl/>
        </w:rPr>
        <w:t xml:space="preserve">יבגני פילברג נ' מדינת ישראל </w:t>
      </w:r>
      <w:r w:rsidR="008228C8" w:rsidRPr="008228C8">
        <w:rPr>
          <w:rFonts w:ascii="FrankRuehl" w:eastAsia="Calibri" w:hAnsi="FrankRuehl" w:cs="FrankRuehl"/>
          <w:sz w:val="28"/>
          <w:szCs w:val="28"/>
          <w:rtl/>
        </w:rPr>
        <w:t>(11.9.17).</w:t>
      </w:r>
    </w:p>
    <w:p w:rsidR="00800AD6" w:rsidRDefault="00800AD6" w:rsidP="00800AD6">
      <w:pPr>
        <w:spacing w:line="360" w:lineRule="auto"/>
        <w:jc w:val="both"/>
        <w:rPr>
          <w:rFonts w:ascii="FrankRuehl" w:eastAsia="Calibri" w:hAnsi="FrankRuehl" w:cs="FrankRuehl"/>
          <w:sz w:val="28"/>
          <w:szCs w:val="28"/>
          <w:rtl/>
        </w:rPr>
      </w:pPr>
    </w:p>
    <w:p w:rsidR="00800AD6" w:rsidRPr="008228C8" w:rsidRDefault="00800AD6" w:rsidP="00EA0F70">
      <w:pPr>
        <w:spacing w:line="360" w:lineRule="auto"/>
        <w:jc w:val="both"/>
        <w:rPr>
          <w:rFonts w:ascii="FrankRuehl" w:eastAsia="Calibri" w:hAnsi="FrankRuehl" w:cs="FrankRuehl"/>
          <w:sz w:val="28"/>
          <w:szCs w:val="28"/>
          <w:rtl/>
        </w:rPr>
      </w:pPr>
      <w:r>
        <w:rPr>
          <w:rFonts w:ascii="FrankRuehl" w:eastAsia="Calibri" w:hAnsi="FrankRuehl" w:cs="FrankRuehl"/>
          <w:sz w:val="28"/>
          <w:szCs w:val="28"/>
          <w:rtl/>
        </w:rPr>
        <w:tab/>
      </w:r>
      <w:r>
        <w:rPr>
          <w:rFonts w:ascii="FrankRuehl" w:eastAsia="Calibri" w:hAnsi="FrankRuehl" w:cs="FrankRuehl" w:hint="cs"/>
          <w:sz w:val="28"/>
          <w:szCs w:val="28"/>
          <w:rtl/>
        </w:rPr>
        <w:t xml:space="preserve">כתב האישום שלפנינו חריג לחומרה, </w:t>
      </w:r>
      <w:r w:rsidR="00263AFF">
        <w:rPr>
          <w:rFonts w:ascii="FrankRuehl" w:eastAsia="Calibri" w:hAnsi="FrankRuehl" w:cs="FrankRuehl" w:hint="cs"/>
          <w:sz w:val="28"/>
          <w:szCs w:val="28"/>
          <w:rtl/>
        </w:rPr>
        <w:t xml:space="preserve">כשכרוכות בחובו באישום אחד עבירות גידול וייצור סמים בהיקף נרחב </w:t>
      </w:r>
      <w:r w:rsidR="00263AFF">
        <w:rPr>
          <w:rFonts w:ascii="FrankRuehl" w:eastAsia="Calibri" w:hAnsi="FrankRuehl" w:cs="FrankRuehl"/>
          <w:sz w:val="28"/>
          <w:szCs w:val="28"/>
          <w:rtl/>
        </w:rPr>
        <w:t>–</w:t>
      </w:r>
      <w:r w:rsidR="00263AFF">
        <w:rPr>
          <w:rFonts w:ascii="FrankRuehl" w:eastAsia="Calibri" w:hAnsi="FrankRuehl" w:cs="FrankRuehl" w:hint="cs"/>
          <w:sz w:val="28"/>
          <w:szCs w:val="28"/>
          <w:rtl/>
        </w:rPr>
        <w:t xml:space="preserve"> כ-10,000 שתילי סם מסוג קנאביס, ובאישום נפרד </w:t>
      </w:r>
      <w:r w:rsidR="00675902">
        <w:rPr>
          <w:rFonts w:ascii="FrankRuehl" w:eastAsia="Calibri" w:hAnsi="FrankRuehl" w:cs="FrankRuehl" w:hint="cs"/>
          <w:sz w:val="28"/>
          <w:szCs w:val="28"/>
          <w:rtl/>
        </w:rPr>
        <w:t>נגד</w:t>
      </w:r>
      <w:r w:rsidR="00F31BD4">
        <w:rPr>
          <w:rFonts w:ascii="FrankRuehl" w:eastAsia="Calibri" w:hAnsi="FrankRuehl" w:cs="FrankRuehl" w:hint="cs"/>
          <w:sz w:val="28"/>
          <w:szCs w:val="28"/>
          <w:rtl/>
        </w:rPr>
        <w:t xml:space="preserve"> אותם הנאשמים </w:t>
      </w:r>
      <w:r w:rsidR="00F31BD4">
        <w:rPr>
          <w:rFonts w:ascii="FrankRuehl" w:eastAsia="Calibri" w:hAnsi="FrankRuehl" w:cs="FrankRuehl"/>
          <w:sz w:val="28"/>
          <w:szCs w:val="28"/>
          <w:rtl/>
        </w:rPr>
        <w:t>–</w:t>
      </w:r>
      <w:r w:rsidR="00F31BD4">
        <w:rPr>
          <w:rFonts w:ascii="FrankRuehl" w:eastAsia="Calibri" w:hAnsi="FrankRuehl" w:cs="FrankRuehl" w:hint="cs"/>
          <w:sz w:val="28"/>
          <w:szCs w:val="28"/>
          <w:rtl/>
        </w:rPr>
        <w:t xml:space="preserve"> </w:t>
      </w:r>
      <w:r w:rsidR="00263AFF">
        <w:rPr>
          <w:rFonts w:ascii="FrankRuehl" w:eastAsia="Calibri" w:hAnsi="FrankRuehl" w:cs="FrankRuehl" w:hint="cs"/>
          <w:sz w:val="28"/>
          <w:szCs w:val="28"/>
          <w:rtl/>
        </w:rPr>
        <w:t xml:space="preserve">פעילות </w:t>
      </w:r>
      <w:r w:rsidR="00F31BD4">
        <w:rPr>
          <w:rFonts w:ascii="FrankRuehl" w:eastAsia="Calibri" w:hAnsi="FrankRuehl" w:cs="FrankRuehl" w:hint="cs"/>
          <w:sz w:val="28"/>
          <w:szCs w:val="28"/>
          <w:rtl/>
        </w:rPr>
        <w:t xml:space="preserve">המשך </w:t>
      </w:r>
      <w:r w:rsidR="00263AFF">
        <w:rPr>
          <w:rFonts w:ascii="FrankRuehl" w:eastAsia="Calibri" w:hAnsi="FrankRuehl" w:cs="FrankRuehl" w:hint="cs"/>
          <w:sz w:val="28"/>
          <w:szCs w:val="28"/>
          <w:rtl/>
        </w:rPr>
        <w:t>שנועדה לאפשר את הפצת הסמים</w:t>
      </w:r>
      <w:r w:rsidR="00F31BD4">
        <w:rPr>
          <w:rFonts w:ascii="FrankRuehl" w:eastAsia="Calibri" w:hAnsi="FrankRuehl" w:cs="FrankRuehl" w:hint="cs"/>
          <w:sz w:val="28"/>
          <w:szCs w:val="28"/>
          <w:rtl/>
        </w:rPr>
        <w:t xml:space="preserve"> שיוצרו במעבדה</w:t>
      </w:r>
      <w:r w:rsidR="00263AFF">
        <w:rPr>
          <w:rFonts w:ascii="FrankRuehl" w:eastAsia="Calibri" w:hAnsi="FrankRuehl" w:cs="FrankRuehl" w:hint="cs"/>
          <w:sz w:val="28"/>
          <w:szCs w:val="28"/>
          <w:rtl/>
        </w:rPr>
        <w:t xml:space="preserve"> </w:t>
      </w:r>
      <w:r w:rsidR="00263AFF">
        <w:rPr>
          <w:rFonts w:ascii="FrankRuehl" w:eastAsia="Calibri" w:hAnsi="FrankRuehl" w:cs="FrankRuehl"/>
          <w:sz w:val="28"/>
          <w:szCs w:val="28"/>
          <w:rtl/>
        </w:rPr>
        <w:t>–</w:t>
      </w:r>
      <w:r w:rsidR="00263AFF">
        <w:rPr>
          <w:rFonts w:ascii="FrankRuehl" w:eastAsia="Calibri" w:hAnsi="FrankRuehl" w:cs="FrankRuehl" w:hint="cs"/>
          <w:sz w:val="28"/>
          <w:szCs w:val="28"/>
          <w:rtl/>
        </w:rPr>
        <w:t xml:space="preserve"> עסקאות </w:t>
      </w:r>
      <w:r w:rsidR="009C19C5">
        <w:rPr>
          <w:rFonts w:ascii="FrankRuehl" w:eastAsia="Calibri" w:hAnsi="FrankRuehl" w:cs="FrankRuehl" w:hint="cs"/>
          <w:sz w:val="28"/>
          <w:szCs w:val="28"/>
          <w:rtl/>
        </w:rPr>
        <w:t xml:space="preserve">אחרות </w:t>
      </w:r>
      <w:r w:rsidR="00263AFF">
        <w:rPr>
          <w:rFonts w:ascii="FrankRuehl" w:eastAsia="Calibri" w:hAnsi="FrankRuehl" w:cs="FrankRuehl" w:hint="cs"/>
          <w:sz w:val="28"/>
          <w:szCs w:val="28"/>
          <w:rtl/>
        </w:rPr>
        <w:t>במסגרתן הכינו הנאשמים ללקוחותיהם מגשים ובהם מאות שתילי קנאביס.</w:t>
      </w:r>
      <w:r w:rsidR="00777A1A">
        <w:rPr>
          <w:rFonts w:ascii="FrankRuehl" w:eastAsia="Calibri" w:hAnsi="FrankRuehl" w:cs="FrankRuehl" w:hint="cs"/>
          <w:sz w:val="28"/>
          <w:szCs w:val="28"/>
          <w:rtl/>
        </w:rPr>
        <w:t xml:space="preserve"> </w:t>
      </w:r>
      <w:r w:rsidR="00F31BD4">
        <w:rPr>
          <w:rFonts w:ascii="FrankRuehl" w:eastAsia="Calibri" w:hAnsi="FrankRuehl" w:cs="FrankRuehl" w:hint="cs"/>
          <w:sz w:val="28"/>
          <w:szCs w:val="28"/>
          <w:rtl/>
        </w:rPr>
        <w:t xml:space="preserve">דומני שמעטים כתבי </w:t>
      </w:r>
      <w:r w:rsidR="00675902">
        <w:rPr>
          <w:rFonts w:ascii="FrankRuehl" w:eastAsia="Calibri" w:hAnsi="FrankRuehl" w:cs="FrankRuehl" w:hint="cs"/>
          <w:sz w:val="28"/>
          <w:szCs w:val="28"/>
          <w:rtl/>
        </w:rPr>
        <w:t>ה</w:t>
      </w:r>
      <w:r w:rsidR="00F31BD4">
        <w:rPr>
          <w:rFonts w:ascii="FrankRuehl" w:eastAsia="Calibri" w:hAnsi="FrankRuehl" w:cs="FrankRuehl" w:hint="cs"/>
          <w:sz w:val="28"/>
          <w:szCs w:val="28"/>
          <w:rtl/>
        </w:rPr>
        <w:t xml:space="preserve">אישום שהוגשו עד כה בשילוב </w:t>
      </w:r>
      <w:r w:rsidR="00F93F75">
        <w:rPr>
          <w:rFonts w:ascii="FrankRuehl" w:eastAsia="Calibri" w:hAnsi="FrankRuehl" w:cs="FrankRuehl" w:hint="cs"/>
          <w:sz w:val="28"/>
          <w:szCs w:val="28"/>
          <w:rtl/>
        </w:rPr>
        <w:t>עבירות כ</w:t>
      </w:r>
      <w:r w:rsidR="00F31BD4">
        <w:rPr>
          <w:rFonts w:ascii="FrankRuehl" w:eastAsia="Calibri" w:hAnsi="FrankRuehl" w:cs="FrankRuehl" w:hint="cs"/>
          <w:sz w:val="28"/>
          <w:szCs w:val="28"/>
          <w:rtl/>
        </w:rPr>
        <w:t>זה</w:t>
      </w:r>
      <w:r w:rsidR="00F93F75">
        <w:rPr>
          <w:rFonts w:ascii="FrankRuehl" w:eastAsia="Calibri" w:hAnsi="FrankRuehl" w:cs="FrankRuehl" w:hint="cs"/>
          <w:sz w:val="28"/>
          <w:szCs w:val="28"/>
          <w:rtl/>
        </w:rPr>
        <w:t xml:space="preserve"> או דומה לו</w:t>
      </w:r>
      <w:r w:rsidR="00F31BD4">
        <w:rPr>
          <w:rFonts w:ascii="FrankRuehl" w:eastAsia="Calibri" w:hAnsi="FrankRuehl" w:cs="FrankRuehl" w:hint="cs"/>
          <w:sz w:val="28"/>
          <w:szCs w:val="28"/>
          <w:rtl/>
        </w:rPr>
        <w:t xml:space="preserve">. </w:t>
      </w:r>
      <w:r w:rsidR="00777A1A">
        <w:rPr>
          <w:rFonts w:ascii="FrankRuehl" w:eastAsia="Calibri" w:hAnsi="FrankRuehl" w:cs="FrankRuehl" w:hint="cs"/>
          <w:sz w:val="28"/>
          <w:szCs w:val="28"/>
          <w:rtl/>
        </w:rPr>
        <w:t xml:space="preserve">עיון בפסקי הדין הרבים שהגישו הצדדים, מגלה כי רובם ככולם עוסקים במעבדות לגידול סמים, ובאף </w:t>
      </w:r>
      <w:r w:rsidR="00EA0F70">
        <w:rPr>
          <w:rFonts w:ascii="FrankRuehl" w:eastAsia="Calibri" w:hAnsi="FrankRuehl" w:cs="FrankRuehl" w:hint="cs"/>
          <w:sz w:val="28"/>
          <w:szCs w:val="28"/>
          <w:rtl/>
        </w:rPr>
        <w:t xml:space="preserve">לא </w:t>
      </w:r>
      <w:r w:rsidR="00777A1A">
        <w:rPr>
          <w:rFonts w:ascii="FrankRuehl" w:eastAsia="Calibri" w:hAnsi="FrankRuehl" w:cs="FrankRuehl" w:hint="cs"/>
          <w:sz w:val="28"/>
          <w:szCs w:val="28"/>
          <w:rtl/>
        </w:rPr>
        <w:t xml:space="preserve">אחד מהם הורשע נאשם בעבירות </w:t>
      </w:r>
      <w:r w:rsidR="00F31BD4">
        <w:rPr>
          <w:rFonts w:ascii="FrankRuehl" w:eastAsia="Calibri" w:hAnsi="FrankRuehl" w:cs="FrankRuehl" w:hint="cs"/>
          <w:sz w:val="28"/>
          <w:szCs w:val="28"/>
          <w:rtl/>
        </w:rPr>
        <w:t xml:space="preserve">המשך </w:t>
      </w:r>
      <w:r w:rsidR="00777A1A">
        <w:rPr>
          <w:rFonts w:ascii="FrankRuehl" w:eastAsia="Calibri" w:hAnsi="FrankRuehl" w:cs="FrankRuehl" w:hint="cs"/>
          <w:sz w:val="28"/>
          <w:szCs w:val="28"/>
          <w:rtl/>
        </w:rPr>
        <w:t>הקשורות ב</w:t>
      </w:r>
      <w:r w:rsidR="00EA0F70">
        <w:rPr>
          <w:rFonts w:ascii="FrankRuehl" w:eastAsia="Calibri" w:hAnsi="FrankRuehl" w:cs="FrankRuehl" w:hint="cs"/>
          <w:sz w:val="28"/>
          <w:szCs w:val="28"/>
          <w:rtl/>
        </w:rPr>
        <w:t>הפצת תוצרי</w:t>
      </w:r>
      <w:r w:rsidR="00777A1A">
        <w:rPr>
          <w:rFonts w:ascii="FrankRuehl" w:eastAsia="Calibri" w:hAnsi="FrankRuehl" w:cs="FrankRuehl" w:hint="cs"/>
          <w:sz w:val="28"/>
          <w:szCs w:val="28"/>
          <w:rtl/>
        </w:rPr>
        <w:t xml:space="preserve"> המעבדה, מסוג סחר בסם/עסקה אחרת בסם/</w:t>
      </w:r>
      <w:r w:rsidR="009C19C5">
        <w:rPr>
          <w:rFonts w:ascii="FrankRuehl" w:eastAsia="Calibri" w:hAnsi="FrankRuehl" w:cs="FrankRuehl" w:hint="cs"/>
          <w:sz w:val="28"/>
          <w:szCs w:val="28"/>
          <w:rtl/>
        </w:rPr>
        <w:t>ה</w:t>
      </w:r>
      <w:r w:rsidR="00777A1A">
        <w:rPr>
          <w:rFonts w:ascii="FrankRuehl" w:eastAsia="Calibri" w:hAnsi="FrankRuehl" w:cs="FrankRuehl" w:hint="cs"/>
          <w:sz w:val="28"/>
          <w:szCs w:val="28"/>
          <w:rtl/>
        </w:rPr>
        <w:t>ספק</w:t>
      </w:r>
      <w:r w:rsidR="00F31BD4">
        <w:rPr>
          <w:rFonts w:ascii="FrankRuehl" w:eastAsia="Calibri" w:hAnsi="FrankRuehl" w:cs="FrankRuehl" w:hint="cs"/>
          <w:sz w:val="28"/>
          <w:szCs w:val="28"/>
          <w:rtl/>
        </w:rPr>
        <w:t>ת סם.</w:t>
      </w:r>
    </w:p>
    <w:p w:rsidR="008228C8" w:rsidRPr="008228C8" w:rsidRDefault="008228C8" w:rsidP="008228C8">
      <w:pPr>
        <w:spacing w:line="360" w:lineRule="auto"/>
        <w:jc w:val="both"/>
        <w:rPr>
          <w:rFonts w:ascii="FrankRuehl" w:eastAsia="Calibri" w:hAnsi="FrankRuehl" w:cs="FrankRuehl"/>
          <w:sz w:val="28"/>
          <w:szCs w:val="28"/>
          <w:rtl/>
        </w:rPr>
      </w:pPr>
    </w:p>
    <w:p w:rsidR="008228C8" w:rsidRPr="00981BF8" w:rsidRDefault="00E51082" w:rsidP="005E2117">
      <w:pPr>
        <w:spacing w:line="360" w:lineRule="auto"/>
        <w:jc w:val="both"/>
        <w:rPr>
          <w:rFonts w:ascii="FrankRuehl" w:eastAsia="Calibri" w:hAnsi="FrankRuehl" w:cs="Miriam"/>
          <w:b/>
          <w:sz w:val="28"/>
          <w:rtl/>
        </w:rPr>
      </w:pPr>
      <w:r w:rsidRPr="00981BF8">
        <w:rPr>
          <w:rFonts w:ascii="FrankRuehl" w:eastAsia="Calibri" w:hAnsi="FrankRuehl" w:cs="Miriam" w:hint="cs"/>
          <w:b/>
          <w:sz w:val="28"/>
          <w:rtl/>
        </w:rPr>
        <w:t>ה</w:t>
      </w:r>
      <w:r w:rsidR="005E2117" w:rsidRPr="00981BF8">
        <w:rPr>
          <w:rFonts w:ascii="FrankRuehl" w:eastAsia="Calibri" w:hAnsi="FrankRuehl" w:cs="Miriam" w:hint="cs"/>
          <w:b/>
          <w:sz w:val="28"/>
          <w:rtl/>
        </w:rPr>
        <w:t>גידול</w:t>
      </w:r>
      <w:r w:rsidRPr="00981BF8">
        <w:rPr>
          <w:rFonts w:ascii="FrankRuehl" w:eastAsia="Calibri" w:hAnsi="FrankRuehl" w:cs="Miriam" w:hint="cs"/>
          <w:b/>
          <w:sz w:val="28"/>
          <w:rtl/>
        </w:rPr>
        <w:t xml:space="preserve"> </w:t>
      </w:r>
      <w:r w:rsidRPr="00981BF8">
        <w:rPr>
          <w:rFonts w:ascii="FrankRuehl" w:eastAsia="Calibri" w:hAnsi="FrankRuehl" w:cs="Miriam"/>
          <w:b/>
          <w:sz w:val="28"/>
          <w:rtl/>
        </w:rPr>
        <w:t>–</w:t>
      </w:r>
      <w:r w:rsidRPr="00981BF8">
        <w:rPr>
          <w:rFonts w:ascii="FrankRuehl" w:eastAsia="Calibri" w:hAnsi="FrankRuehl" w:cs="Miriam" w:hint="cs"/>
          <w:b/>
          <w:sz w:val="28"/>
          <w:rtl/>
        </w:rPr>
        <w:t xml:space="preserve"> אישום מס' 1</w:t>
      </w:r>
    </w:p>
    <w:p w:rsidR="00E51082" w:rsidRPr="00981BF8" w:rsidRDefault="00E51082" w:rsidP="008228C8">
      <w:pPr>
        <w:spacing w:line="360" w:lineRule="auto"/>
        <w:jc w:val="both"/>
        <w:rPr>
          <w:rFonts w:ascii="FrankRuehl" w:eastAsia="Calibri" w:hAnsi="FrankRuehl" w:cs="Miriam"/>
          <w:b/>
          <w:sz w:val="28"/>
          <w:rtl/>
        </w:rPr>
      </w:pPr>
    </w:p>
    <w:p w:rsidR="008228C8" w:rsidRPr="008228C8" w:rsidRDefault="00E51082" w:rsidP="008228C8">
      <w:pPr>
        <w:spacing w:line="360" w:lineRule="auto"/>
        <w:jc w:val="both"/>
        <w:rPr>
          <w:rFonts w:ascii="FrankRuehl" w:eastAsia="Calibri" w:hAnsi="FrankRuehl" w:cs="FrankRuehl"/>
          <w:sz w:val="28"/>
          <w:szCs w:val="28"/>
          <w:rtl/>
        </w:rPr>
      </w:pPr>
      <w:r>
        <w:rPr>
          <w:rFonts w:ascii="FrankRuehl" w:eastAsia="Calibri" w:hAnsi="FrankRuehl" w:cs="FrankRuehl" w:hint="cs"/>
          <w:sz w:val="28"/>
          <w:szCs w:val="28"/>
          <w:rtl/>
        </w:rPr>
        <w:t>8</w:t>
      </w:r>
      <w:r w:rsidR="008228C8" w:rsidRPr="008228C8">
        <w:rPr>
          <w:rFonts w:ascii="FrankRuehl" w:eastAsia="Calibri" w:hAnsi="FrankRuehl" w:cs="FrankRuehl"/>
          <w:sz w:val="28"/>
          <w:szCs w:val="28"/>
          <w:rtl/>
        </w:rPr>
        <w:t>.</w:t>
      </w:r>
      <w:r w:rsidR="008228C8" w:rsidRPr="008228C8">
        <w:rPr>
          <w:rFonts w:ascii="FrankRuehl" w:eastAsia="Calibri" w:hAnsi="FrankRuehl" w:cs="FrankRuehl"/>
          <w:sz w:val="28"/>
          <w:szCs w:val="28"/>
          <w:rtl/>
        </w:rPr>
        <w:tab/>
        <w:t>הנאשם 1 ציין בפני קצינת המבחן</w:t>
      </w:r>
      <w:r w:rsidR="000D0D79">
        <w:rPr>
          <w:rFonts w:ascii="FrankRuehl" w:eastAsia="Calibri" w:hAnsi="FrankRuehl" w:cs="FrankRuehl" w:hint="cs"/>
          <w:sz w:val="28"/>
          <w:szCs w:val="28"/>
          <w:rtl/>
        </w:rPr>
        <w:t>,</w:t>
      </w:r>
      <w:r w:rsidR="008228C8" w:rsidRPr="008228C8">
        <w:rPr>
          <w:rFonts w:ascii="FrankRuehl" w:eastAsia="Calibri" w:hAnsi="FrankRuehl" w:cs="FrankRuehl"/>
          <w:sz w:val="28"/>
          <w:szCs w:val="28"/>
          <w:rtl/>
        </w:rPr>
        <w:t xml:space="preserve"> כי התגורר בדירה בה גידל את הסמים. בהיעדר טענה לסתור, אקבל את טענתו. ברם, כמות השתילים העצומה שגידל, כ-10,000, והציוד הרב שהחזיק במקום, והכל בסיועו של הנאשם 2, נתונים אלו מלמדים על השימוש העיקרי לו נועדה הדירה – מעבדה משוכללת לייצור סמים, מתוך מטרה להפיק מהם רווח כספי, מבלי להתחשב בנזק העצום שהנאשמים גורמים במעשיהם לציבור.</w:t>
      </w:r>
    </w:p>
    <w:p w:rsidR="008228C8" w:rsidRPr="008228C8" w:rsidRDefault="008228C8" w:rsidP="008228C8">
      <w:pPr>
        <w:spacing w:line="360" w:lineRule="auto"/>
        <w:jc w:val="both"/>
        <w:rPr>
          <w:rFonts w:ascii="FrankRuehl" w:eastAsia="Calibri" w:hAnsi="FrankRuehl" w:cs="FrankRuehl"/>
          <w:sz w:val="28"/>
          <w:szCs w:val="28"/>
          <w:rtl/>
        </w:rPr>
      </w:pPr>
    </w:p>
    <w:p w:rsidR="0074094C" w:rsidRDefault="008228C8" w:rsidP="00EC4029">
      <w:pPr>
        <w:spacing w:line="360" w:lineRule="auto"/>
        <w:ind w:firstLine="720"/>
        <w:jc w:val="both"/>
        <w:rPr>
          <w:rFonts w:ascii="FrankRuehl" w:eastAsia="Calibri" w:hAnsi="FrankRuehl" w:cs="FrankRuehl"/>
          <w:sz w:val="28"/>
          <w:szCs w:val="28"/>
          <w:rtl/>
        </w:rPr>
      </w:pPr>
      <w:r w:rsidRPr="008228C8">
        <w:rPr>
          <w:rFonts w:ascii="FrankRuehl" w:eastAsia="Calibri" w:hAnsi="FrankRuehl" w:cs="FrankRuehl"/>
          <w:sz w:val="28"/>
          <w:szCs w:val="28"/>
          <w:rtl/>
        </w:rPr>
        <w:t xml:space="preserve">בהתחשב ביחס בין כמות שתילי הקנאביס שנתפסו לבין משקלם (כ-10,000 שתילים במשקל כ-8.4 ק"ג נטו, קרי, כ-0.84 גרם לשתיל), ביקש ב"כ הנאשמים ליתן את </w:t>
      </w:r>
      <w:r w:rsidR="000A32F5">
        <w:rPr>
          <w:rFonts w:ascii="FrankRuehl" w:eastAsia="Calibri" w:hAnsi="FrankRuehl" w:cs="FrankRuehl" w:hint="cs"/>
          <w:sz w:val="28"/>
          <w:szCs w:val="28"/>
          <w:rtl/>
        </w:rPr>
        <w:t>ממד</w:t>
      </w:r>
      <w:r w:rsidRPr="008228C8">
        <w:rPr>
          <w:rFonts w:ascii="FrankRuehl" w:eastAsia="Calibri" w:hAnsi="FrankRuehl" w:cs="FrankRuehl"/>
          <w:sz w:val="28"/>
          <w:szCs w:val="28"/>
          <w:rtl/>
        </w:rPr>
        <w:t xml:space="preserve"> הבכורה למשקל</w:t>
      </w:r>
      <w:r w:rsidR="000A32F5">
        <w:rPr>
          <w:rFonts w:ascii="FrankRuehl" w:eastAsia="Calibri" w:hAnsi="FrankRuehl" w:cs="FrankRuehl" w:hint="cs"/>
          <w:sz w:val="28"/>
          <w:szCs w:val="28"/>
          <w:rtl/>
        </w:rPr>
        <w:t>ו</w:t>
      </w:r>
      <w:r w:rsidR="000A32F5">
        <w:rPr>
          <w:rFonts w:ascii="FrankRuehl" w:eastAsia="Calibri" w:hAnsi="FrankRuehl" w:cs="FrankRuehl"/>
          <w:sz w:val="28"/>
          <w:szCs w:val="28"/>
          <w:rtl/>
        </w:rPr>
        <w:t xml:space="preserve"> הכולל של הסם</w:t>
      </w:r>
      <w:r w:rsidR="000A32F5">
        <w:rPr>
          <w:rFonts w:ascii="FrankRuehl" w:eastAsia="Calibri" w:hAnsi="FrankRuehl" w:cs="FrankRuehl" w:hint="cs"/>
          <w:sz w:val="28"/>
          <w:szCs w:val="28"/>
          <w:rtl/>
        </w:rPr>
        <w:t xml:space="preserve">, מבלי לייחס חשיבות לכמות החריגה </w:t>
      </w:r>
      <w:r w:rsidR="00945260">
        <w:rPr>
          <w:rFonts w:ascii="FrankRuehl" w:eastAsia="Calibri" w:hAnsi="FrankRuehl" w:cs="FrankRuehl" w:hint="cs"/>
          <w:sz w:val="28"/>
          <w:szCs w:val="28"/>
          <w:rtl/>
        </w:rPr>
        <w:t>של שתילים שנתפסו. רצונה של ההגנה להתמקד בנתונים החמורים פחות, מובן מאליו, אך על בית המשפט מוטלת החובה לבחון את התמונה הכוללת.</w:t>
      </w:r>
      <w:r w:rsidRPr="008228C8">
        <w:rPr>
          <w:rFonts w:ascii="FrankRuehl" w:eastAsia="Calibri" w:hAnsi="FrankRuehl" w:cs="FrankRuehl"/>
          <w:sz w:val="28"/>
          <w:szCs w:val="28"/>
          <w:rtl/>
        </w:rPr>
        <w:t xml:space="preserve"> משקלם</w:t>
      </w:r>
      <w:r w:rsidR="00945260">
        <w:rPr>
          <w:rFonts w:ascii="FrankRuehl" w:eastAsia="Calibri" w:hAnsi="FrankRuehl" w:cs="FrankRuehl" w:hint="cs"/>
          <w:sz w:val="28"/>
          <w:szCs w:val="28"/>
          <w:rtl/>
        </w:rPr>
        <w:t xml:space="preserve"> הממוצע</w:t>
      </w:r>
      <w:r w:rsidRPr="008228C8">
        <w:rPr>
          <w:rFonts w:ascii="FrankRuehl" w:eastAsia="Calibri" w:hAnsi="FrankRuehl" w:cs="FrankRuehl"/>
          <w:sz w:val="28"/>
          <w:szCs w:val="28"/>
          <w:rtl/>
        </w:rPr>
        <w:t xml:space="preserve"> של השתילים מלמד</w:t>
      </w:r>
      <w:r w:rsidR="000D0D79">
        <w:rPr>
          <w:rFonts w:ascii="FrankRuehl" w:eastAsia="Calibri" w:hAnsi="FrankRuehl" w:cs="FrankRuehl" w:hint="cs"/>
          <w:sz w:val="28"/>
          <w:szCs w:val="28"/>
          <w:rtl/>
        </w:rPr>
        <w:t>,</w:t>
      </w:r>
      <w:r w:rsidRPr="008228C8">
        <w:rPr>
          <w:rFonts w:ascii="FrankRuehl" w:eastAsia="Calibri" w:hAnsi="FrankRuehl" w:cs="FrankRuehl"/>
          <w:sz w:val="28"/>
          <w:szCs w:val="28"/>
          <w:rtl/>
        </w:rPr>
        <w:t xml:space="preserve"> כי המעבדה נתפסה בשלב מוקדם של </w:t>
      </w:r>
      <w:r w:rsidR="00945260">
        <w:rPr>
          <w:rFonts w:ascii="FrankRuehl" w:eastAsia="Calibri" w:hAnsi="FrankRuehl" w:cs="FrankRuehl" w:hint="cs"/>
          <w:sz w:val="28"/>
          <w:szCs w:val="28"/>
          <w:rtl/>
        </w:rPr>
        <w:t xml:space="preserve">מחזור </w:t>
      </w:r>
      <w:r w:rsidRPr="008228C8">
        <w:rPr>
          <w:rFonts w:ascii="FrankRuehl" w:eastAsia="Calibri" w:hAnsi="FrankRuehl" w:cs="FrankRuehl"/>
          <w:sz w:val="28"/>
          <w:szCs w:val="28"/>
          <w:rtl/>
        </w:rPr>
        <w:t>הגידול</w:t>
      </w:r>
      <w:r w:rsidR="00945260">
        <w:rPr>
          <w:rFonts w:ascii="FrankRuehl" w:eastAsia="Calibri" w:hAnsi="FrankRuehl" w:cs="FrankRuehl" w:hint="cs"/>
          <w:sz w:val="28"/>
          <w:szCs w:val="28"/>
          <w:rtl/>
        </w:rPr>
        <w:t xml:space="preserve">. </w:t>
      </w:r>
      <w:r w:rsidRPr="008228C8">
        <w:rPr>
          <w:rFonts w:ascii="FrankRuehl" w:eastAsia="Calibri" w:hAnsi="FrankRuehl" w:cs="FrankRuehl"/>
          <w:sz w:val="28"/>
          <w:szCs w:val="28"/>
          <w:rtl/>
        </w:rPr>
        <w:t xml:space="preserve">כמות השתילים העצומה מלמדת על פוטנציאל </w:t>
      </w:r>
      <w:r w:rsidR="00945260">
        <w:rPr>
          <w:rFonts w:ascii="FrankRuehl" w:eastAsia="Calibri" w:hAnsi="FrankRuehl" w:cs="FrankRuehl" w:hint="cs"/>
          <w:sz w:val="28"/>
          <w:szCs w:val="28"/>
          <w:rtl/>
        </w:rPr>
        <w:t>הפקה</w:t>
      </w:r>
      <w:r w:rsidRPr="008228C8">
        <w:rPr>
          <w:rFonts w:ascii="FrankRuehl" w:eastAsia="Calibri" w:hAnsi="FrankRuehl" w:cs="FrankRuehl"/>
          <w:sz w:val="28"/>
          <w:szCs w:val="28"/>
          <w:rtl/>
        </w:rPr>
        <w:t xml:space="preserve"> רב, וכפועל יוצא מכך, מידת הסיכון לציבור, ו</w:t>
      </w:r>
      <w:r w:rsidR="00945260">
        <w:rPr>
          <w:rFonts w:ascii="FrankRuehl" w:eastAsia="Calibri" w:hAnsi="FrankRuehl" w:cs="FrankRuehl" w:hint="cs"/>
          <w:sz w:val="28"/>
          <w:szCs w:val="28"/>
          <w:rtl/>
        </w:rPr>
        <w:t>ההכנסה</w:t>
      </w:r>
      <w:r w:rsidRPr="008228C8">
        <w:rPr>
          <w:rFonts w:ascii="FrankRuehl" w:eastAsia="Calibri" w:hAnsi="FrankRuehl" w:cs="FrankRuehl"/>
          <w:sz w:val="28"/>
          <w:szCs w:val="28"/>
          <w:rtl/>
        </w:rPr>
        <w:t xml:space="preserve"> שעתידים היו הנאשמים להפיק כתוצאה מפעילותם העבריינית. </w:t>
      </w:r>
    </w:p>
    <w:p w:rsidR="0074094C" w:rsidRDefault="0074094C" w:rsidP="00EC4029">
      <w:pPr>
        <w:spacing w:line="360" w:lineRule="auto"/>
        <w:ind w:firstLine="720"/>
        <w:jc w:val="both"/>
        <w:rPr>
          <w:rFonts w:ascii="FrankRuehl" w:eastAsia="Calibri" w:hAnsi="FrankRuehl" w:cs="FrankRuehl"/>
          <w:sz w:val="28"/>
          <w:szCs w:val="28"/>
          <w:rtl/>
        </w:rPr>
      </w:pPr>
    </w:p>
    <w:p w:rsidR="0074094C" w:rsidRDefault="00F5070B" w:rsidP="00EC4029">
      <w:pPr>
        <w:spacing w:line="360" w:lineRule="auto"/>
        <w:ind w:firstLine="720"/>
        <w:jc w:val="both"/>
        <w:rPr>
          <w:rFonts w:ascii="FrankRuehl" w:eastAsia="Calibri" w:hAnsi="FrankRuehl" w:cs="FrankRuehl"/>
          <w:sz w:val="28"/>
          <w:szCs w:val="28"/>
          <w:rtl/>
        </w:rPr>
      </w:pPr>
      <w:r>
        <w:rPr>
          <w:rFonts w:ascii="FrankRuehl" w:eastAsia="Calibri" w:hAnsi="FrankRuehl" w:cs="FrankRuehl" w:hint="cs"/>
          <w:sz w:val="28"/>
          <w:szCs w:val="28"/>
          <w:rtl/>
        </w:rPr>
        <w:t xml:space="preserve">ראו </w:t>
      </w:r>
      <w:r w:rsidR="008228C8" w:rsidRPr="008228C8">
        <w:rPr>
          <w:rFonts w:ascii="FrankRuehl" w:eastAsia="Calibri" w:hAnsi="FrankRuehl" w:cs="FrankRuehl"/>
          <w:sz w:val="28"/>
          <w:szCs w:val="28"/>
          <w:rtl/>
        </w:rPr>
        <w:t xml:space="preserve">עפ"ג (מחוזי ב"ש) 6525-09-21 </w:t>
      </w:r>
      <w:r w:rsidR="008228C8" w:rsidRPr="008228C8">
        <w:rPr>
          <w:rFonts w:ascii="FrankRuehl" w:eastAsia="Calibri" w:hAnsi="FrankRuehl" w:cs="Miriam"/>
          <w:b/>
          <w:sz w:val="28"/>
          <w:rtl/>
        </w:rPr>
        <w:t xml:space="preserve">גל סבן נ' מדינת ישראל </w:t>
      </w:r>
      <w:r w:rsidR="008228C8" w:rsidRPr="008228C8">
        <w:rPr>
          <w:rFonts w:ascii="FrankRuehl" w:eastAsia="Calibri" w:hAnsi="FrankRuehl" w:cs="FrankRuehl"/>
          <w:sz w:val="28"/>
          <w:szCs w:val="28"/>
          <w:rtl/>
        </w:rPr>
        <w:t>(15.12.21</w:t>
      </w:r>
      <w:r w:rsidR="00EC4029">
        <w:rPr>
          <w:rFonts w:ascii="FrankRuehl" w:eastAsia="Calibri" w:hAnsi="FrankRuehl" w:cs="FrankRuehl" w:hint="cs"/>
          <w:sz w:val="28"/>
          <w:szCs w:val="28"/>
          <w:rtl/>
        </w:rPr>
        <w:t xml:space="preserve">, להלן: </w:t>
      </w:r>
      <w:r w:rsidR="00EC4029" w:rsidRPr="00981BF8">
        <w:rPr>
          <w:rFonts w:ascii="FrankRuehl" w:eastAsia="Calibri" w:hAnsi="FrankRuehl" w:cs="Miriam" w:hint="cs"/>
          <w:b/>
          <w:sz w:val="28"/>
          <w:rtl/>
        </w:rPr>
        <w:t>ענין סבן</w:t>
      </w:r>
      <w:r w:rsidR="008228C8" w:rsidRPr="008228C8">
        <w:rPr>
          <w:rFonts w:ascii="FrankRuehl" w:eastAsia="Calibri" w:hAnsi="FrankRuehl" w:cs="FrankRuehl"/>
          <w:sz w:val="28"/>
          <w:szCs w:val="28"/>
          <w:rtl/>
        </w:rPr>
        <w:t>)</w:t>
      </w:r>
      <w:r>
        <w:rPr>
          <w:rFonts w:ascii="FrankRuehl" w:eastAsia="Calibri" w:hAnsi="FrankRuehl" w:cs="FrankRuehl" w:hint="cs"/>
          <w:sz w:val="28"/>
          <w:szCs w:val="28"/>
          <w:rtl/>
        </w:rPr>
        <w:t>.</w:t>
      </w:r>
      <w:r w:rsidR="008228C8" w:rsidRPr="008228C8">
        <w:rPr>
          <w:rFonts w:ascii="FrankRuehl" w:eastAsia="Calibri" w:hAnsi="FrankRuehl" w:cs="FrankRuehl"/>
          <w:sz w:val="28"/>
          <w:szCs w:val="28"/>
          <w:rtl/>
        </w:rPr>
        <w:t xml:space="preserve"> </w:t>
      </w:r>
      <w:r>
        <w:rPr>
          <w:rFonts w:ascii="FrankRuehl" w:eastAsia="Calibri" w:hAnsi="FrankRuehl" w:cs="FrankRuehl" w:hint="cs"/>
          <w:sz w:val="28"/>
          <w:szCs w:val="28"/>
          <w:rtl/>
        </w:rPr>
        <w:t xml:space="preserve">המערער </w:t>
      </w:r>
      <w:r w:rsidR="008228C8" w:rsidRPr="008228C8">
        <w:rPr>
          <w:rFonts w:ascii="FrankRuehl" w:eastAsia="Calibri" w:hAnsi="FrankRuehl" w:cs="FrankRuehl"/>
          <w:sz w:val="28"/>
          <w:szCs w:val="28"/>
          <w:rtl/>
        </w:rPr>
        <w:t>הורשע בהתאם להודאתו בגידול 1,136 שתילי סם מסוג קנאביס במשקל כולל של 15 ק"ג, החזיק ציוד רב וכלים, וכן סם מסוכן מסוג קנאביס במשקל 1.2 ק"ג נטו שלא לצריכתו העצמית. בית משפט השלום קבע את מתחם העונש בין 48-24 חודשי מאסר בפועל, וגזר על</w:t>
      </w:r>
      <w:r>
        <w:rPr>
          <w:rFonts w:ascii="FrankRuehl" w:eastAsia="Calibri" w:hAnsi="FrankRuehl" w:cs="FrankRuehl" w:hint="cs"/>
          <w:sz w:val="28"/>
          <w:szCs w:val="28"/>
          <w:rtl/>
        </w:rPr>
        <w:t>יו</w:t>
      </w:r>
      <w:r w:rsidR="008228C8" w:rsidRPr="008228C8">
        <w:rPr>
          <w:rFonts w:ascii="FrankRuehl" w:eastAsia="Calibri" w:hAnsi="FrankRuehl" w:cs="FrankRuehl"/>
          <w:sz w:val="28"/>
          <w:szCs w:val="28"/>
          <w:rtl/>
        </w:rPr>
        <w:t xml:space="preserve"> 27 חודשי מאסר בפועל ועונשים נלווים. בית המשפט המחוזי דחה את הערעור (למעט באשר למשך פסילת רישיון הנהיגה), בקובעו, בין השאר, כי: </w:t>
      </w:r>
      <w:r w:rsidR="008228C8" w:rsidRPr="00981BF8">
        <w:rPr>
          <w:rFonts w:ascii="FrankRuehl" w:eastAsia="Calibri" w:hAnsi="FrankRuehl" w:cs="Miriam"/>
          <w:b/>
          <w:sz w:val="28"/>
          <w:rtl/>
        </w:rPr>
        <w:t>"משקל הסם בעת תפיסת השתילים, לבדו, אינו משקף בצורה ממצה את רכיב כמות הסם – המהווה מדד חשוב לאמידת חומרת עבירת סמים. יש להעמיד לצדו את הנתון הנוגע למספר השתילים, היכול ללמד על כמות הסם שניתן היה להפיק מהשתילים בעת הבשלתם, ולשמש מדד למידת הפגיעה שיכלה להיגרם ממעשה העבירה"</w:t>
      </w:r>
      <w:r w:rsidR="008228C8" w:rsidRPr="008228C8">
        <w:rPr>
          <w:rFonts w:ascii="FrankRuehl" w:eastAsia="Calibri" w:hAnsi="FrankRuehl" w:cs="FrankRuehl"/>
          <w:sz w:val="28"/>
          <w:szCs w:val="28"/>
          <w:rtl/>
        </w:rPr>
        <w:t xml:space="preserve">. </w:t>
      </w:r>
    </w:p>
    <w:p w:rsidR="0074094C" w:rsidRDefault="0074094C" w:rsidP="00EC4029">
      <w:pPr>
        <w:spacing w:line="360" w:lineRule="auto"/>
        <w:ind w:firstLine="720"/>
        <w:jc w:val="both"/>
        <w:rPr>
          <w:rFonts w:ascii="FrankRuehl" w:eastAsia="Calibri" w:hAnsi="FrankRuehl" w:cs="FrankRuehl"/>
          <w:sz w:val="28"/>
          <w:szCs w:val="28"/>
          <w:rtl/>
        </w:rPr>
      </w:pPr>
    </w:p>
    <w:p w:rsidR="008228C8" w:rsidRPr="008228C8" w:rsidRDefault="00EC4029" w:rsidP="00EC4029">
      <w:pPr>
        <w:spacing w:line="360" w:lineRule="auto"/>
        <w:ind w:firstLine="720"/>
        <w:jc w:val="both"/>
        <w:rPr>
          <w:rFonts w:ascii="FrankRuehl" w:eastAsia="Calibri" w:hAnsi="FrankRuehl" w:cs="FrankRuehl"/>
          <w:sz w:val="28"/>
          <w:szCs w:val="28"/>
          <w:rtl/>
        </w:rPr>
      </w:pPr>
      <w:r>
        <w:rPr>
          <w:rFonts w:ascii="FrankRuehl" w:eastAsia="Calibri" w:hAnsi="FrankRuehl" w:cs="FrankRuehl" w:hint="cs"/>
          <w:sz w:val="28"/>
          <w:szCs w:val="28"/>
          <w:rtl/>
        </w:rPr>
        <w:t xml:space="preserve">בעניננו </w:t>
      </w:r>
      <w:r w:rsidR="008228C8" w:rsidRPr="008228C8">
        <w:rPr>
          <w:rFonts w:ascii="FrankRuehl" w:eastAsia="Calibri" w:hAnsi="FrankRuehl" w:cs="FrankRuehl"/>
          <w:sz w:val="28"/>
          <w:szCs w:val="28"/>
          <w:rtl/>
        </w:rPr>
        <w:t xml:space="preserve">משקל הסמים הכולל </w:t>
      </w:r>
      <w:r>
        <w:rPr>
          <w:rFonts w:ascii="FrankRuehl" w:eastAsia="Calibri" w:hAnsi="FrankRuehl" w:cs="FrankRuehl"/>
          <w:sz w:val="28"/>
          <w:szCs w:val="28"/>
          <w:rtl/>
        </w:rPr>
        <w:t>עומד על כמחצית מזו שנתפסה</w:t>
      </w:r>
      <w:r>
        <w:rPr>
          <w:rFonts w:ascii="FrankRuehl" w:eastAsia="Calibri" w:hAnsi="FrankRuehl" w:cs="FrankRuehl" w:hint="cs"/>
          <w:sz w:val="28"/>
          <w:szCs w:val="28"/>
          <w:rtl/>
        </w:rPr>
        <w:t xml:space="preserve"> בענין סבן,</w:t>
      </w:r>
      <w:r w:rsidR="008228C8" w:rsidRPr="008228C8">
        <w:rPr>
          <w:rFonts w:ascii="FrankRuehl" w:eastAsia="Calibri" w:hAnsi="FrankRuehl" w:cs="FrankRuehl"/>
          <w:sz w:val="28"/>
          <w:szCs w:val="28"/>
          <w:rtl/>
        </w:rPr>
        <w:t xml:space="preserve"> אך כמות השתילים </w:t>
      </w:r>
      <w:r>
        <w:rPr>
          <w:rFonts w:ascii="FrankRuehl" w:eastAsia="Calibri" w:hAnsi="FrankRuehl" w:cs="FrankRuehl" w:hint="cs"/>
          <w:sz w:val="28"/>
          <w:szCs w:val="28"/>
          <w:rtl/>
        </w:rPr>
        <w:t>גדולה לאין ערוך (פי 9 לערך)</w:t>
      </w:r>
      <w:r w:rsidR="008228C8" w:rsidRPr="008228C8">
        <w:rPr>
          <w:rFonts w:ascii="FrankRuehl" w:eastAsia="Calibri" w:hAnsi="FrankRuehl" w:cs="FrankRuehl"/>
          <w:sz w:val="28"/>
          <w:szCs w:val="28"/>
          <w:rtl/>
        </w:rPr>
        <w:t>. מכאן, האישום הראשון – הוא לבדו חמור יותר מהעבירות בענין סבן</w:t>
      </w:r>
      <w:r>
        <w:rPr>
          <w:rFonts w:ascii="FrankRuehl" w:eastAsia="Calibri" w:hAnsi="FrankRuehl" w:cs="FrankRuehl" w:hint="cs"/>
          <w:sz w:val="28"/>
          <w:szCs w:val="28"/>
          <w:rtl/>
        </w:rPr>
        <w:t xml:space="preserve">, למצער באשר למבצע העיקרי </w:t>
      </w:r>
      <w:r>
        <w:rPr>
          <w:rFonts w:ascii="FrankRuehl" w:eastAsia="Calibri" w:hAnsi="FrankRuehl" w:cs="FrankRuehl"/>
          <w:sz w:val="28"/>
          <w:szCs w:val="28"/>
          <w:rtl/>
        </w:rPr>
        <w:t>–</w:t>
      </w:r>
      <w:r>
        <w:rPr>
          <w:rFonts w:ascii="FrankRuehl" w:eastAsia="Calibri" w:hAnsi="FrankRuehl" w:cs="FrankRuehl" w:hint="cs"/>
          <w:sz w:val="28"/>
          <w:szCs w:val="28"/>
          <w:rtl/>
        </w:rPr>
        <w:t xml:space="preserve"> הנאשם 1</w:t>
      </w:r>
      <w:r w:rsidR="008228C8" w:rsidRPr="008228C8">
        <w:rPr>
          <w:rFonts w:ascii="FrankRuehl" w:eastAsia="Calibri" w:hAnsi="FrankRuehl" w:cs="FrankRuehl"/>
          <w:sz w:val="28"/>
          <w:szCs w:val="28"/>
          <w:rtl/>
        </w:rPr>
        <w:t>.</w:t>
      </w:r>
    </w:p>
    <w:p w:rsidR="008228C8" w:rsidRPr="008228C8" w:rsidRDefault="008228C8" w:rsidP="008228C8">
      <w:pPr>
        <w:spacing w:line="360" w:lineRule="auto"/>
        <w:jc w:val="both"/>
        <w:rPr>
          <w:rFonts w:ascii="FrankRuehl" w:eastAsia="Calibri" w:hAnsi="FrankRuehl" w:cs="FrankRuehl"/>
          <w:sz w:val="28"/>
          <w:szCs w:val="28"/>
          <w:rtl/>
        </w:rPr>
      </w:pPr>
    </w:p>
    <w:p w:rsidR="004E6DB8" w:rsidRDefault="00943771" w:rsidP="001870E8">
      <w:pPr>
        <w:spacing w:line="360" w:lineRule="auto"/>
        <w:jc w:val="both"/>
        <w:rPr>
          <w:rFonts w:ascii="FrankRuehl" w:eastAsia="Calibri" w:hAnsi="FrankRuehl" w:cs="Miriam"/>
          <w:b/>
          <w:sz w:val="28"/>
          <w:rtl/>
        </w:rPr>
      </w:pPr>
      <w:r>
        <w:rPr>
          <w:rFonts w:ascii="FrankRuehl" w:eastAsia="Calibri" w:hAnsi="FrankRuehl" w:cs="FrankRuehl" w:hint="cs"/>
          <w:sz w:val="28"/>
          <w:szCs w:val="28"/>
          <w:rtl/>
        </w:rPr>
        <w:lastRenderedPageBreak/>
        <w:t>9</w:t>
      </w:r>
      <w:r w:rsidR="008228C8" w:rsidRPr="008228C8">
        <w:rPr>
          <w:rFonts w:ascii="FrankRuehl" w:eastAsia="Calibri" w:hAnsi="FrankRuehl" w:cs="FrankRuehl"/>
          <w:sz w:val="28"/>
          <w:szCs w:val="28"/>
          <w:rtl/>
        </w:rPr>
        <w:t>.</w:t>
      </w:r>
      <w:r w:rsidR="008228C8" w:rsidRPr="008228C8">
        <w:rPr>
          <w:rFonts w:ascii="FrankRuehl" w:eastAsia="Calibri" w:hAnsi="FrankRuehl" w:cs="FrankRuehl"/>
          <w:sz w:val="28"/>
          <w:szCs w:val="28"/>
          <w:rtl/>
        </w:rPr>
        <w:tab/>
        <w:t>ב"כ הנאשמים הפנה, כמעין נקודת מוצא בכל הנוגע לקביעת מתחמי העונש, לגזרי הדין שניתנו בענין גולן ובענין חג'ג'.</w:t>
      </w:r>
      <w:r w:rsidR="004E6DB8">
        <w:rPr>
          <w:rFonts w:ascii="FrankRuehl" w:eastAsia="Calibri" w:hAnsi="FrankRuehl" w:cs="FrankRuehl" w:hint="cs"/>
          <w:sz w:val="28"/>
          <w:szCs w:val="28"/>
          <w:rtl/>
        </w:rPr>
        <w:t xml:space="preserve"> עיון בגזרי הדין מגלה כי אלו מתיישבים יותר עם עמדתה העונשית של המאשימה מזו של ההגנה</w:t>
      </w:r>
      <w:r w:rsidR="00A94914">
        <w:rPr>
          <w:rFonts w:ascii="FrankRuehl" w:eastAsia="Calibri" w:hAnsi="FrankRuehl" w:cs="FrankRuehl" w:hint="cs"/>
          <w:sz w:val="28"/>
          <w:szCs w:val="28"/>
          <w:rtl/>
        </w:rPr>
        <w:t xml:space="preserve"> [במאמר מוסגר: שני</w:t>
      </w:r>
      <w:r w:rsidR="001870E8">
        <w:rPr>
          <w:rFonts w:ascii="FrankRuehl" w:eastAsia="Calibri" w:hAnsi="FrankRuehl" w:cs="FrankRuehl" w:hint="cs"/>
          <w:sz w:val="28"/>
          <w:szCs w:val="28"/>
          <w:rtl/>
        </w:rPr>
        <w:t>הם</w:t>
      </w:r>
      <w:r w:rsidR="00A94914">
        <w:rPr>
          <w:rFonts w:ascii="FrankRuehl" w:eastAsia="Calibri" w:hAnsi="FrankRuehl" w:cs="FrankRuehl" w:hint="cs"/>
          <w:sz w:val="28"/>
          <w:szCs w:val="28"/>
          <w:rtl/>
        </w:rPr>
        <w:t xml:space="preserve"> ניתנו בידי הערכאה</w:t>
      </w:r>
      <w:r w:rsidR="004E6DB8">
        <w:rPr>
          <w:rFonts w:ascii="FrankRuehl" w:eastAsia="Calibri" w:hAnsi="FrankRuehl" w:cs="FrankRuehl" w:hint="cs"/>
          <w:sz w:val="28"/>
          <w:szCs w:val="28"/>
          <w:rtl/>
        </w:rPr>
        <w:t xml:space="preserve"> הדיונית </w:t>
      </w:r>
      <w:r w:rsidR="004E6DB8">
        <w:rPr>
          <w:rFonts w:ascii="FrankRuehl" w:eastAsia="Calibri" w:hAnsi="FrankRuehl" w:cs="FrankRuehl"/>
          <w:sz w:val="28"/>
          <w:szCs w:val="28"/>
          <w:rtl/>
        </w:rPr>
        <w:t>–</w:t>
      </w:r>
      <w:r w:rsidR="004E6DB8">
        <w:rPr>
          <w:rFonts w:ascii="FrankRuehl" w:eastAsia="Calibri" w:hAnsi="FrankRuehl" w:cs="FrankRuehl" w:hint="cs"/>
          <w:sz w:val="28"/>
          <w:szCs w:val="28"/>
          <w:rtl/>
        </w:rPr>
        <w:t xml:space="preserve"> בית משפט השלום, מבלי שנבחנו בידי ערכאת הערעור].</w:t>
      </w:r>
    </w:p>
    <w:p w:rsidR="004E6DB8" w:rsidRDefault="004E6DB8" w:rsidP="004E6DB8">
      <w:pPr>
        <w:spacing w:line="360" w:lineRule="auto"/>
        <w:jc w:val="both"/>
        <w:rPr>
          <w:rFonts w:ascii="FrankRuehl" w:eastAsia="Calibri" w:hAnsi="FrankRuehl" w:cs="Miriam"/>
          <w:b/>
          <w:sz w:val="28"/>
          <w:rtl/>
        </w:rPr>
      </w:pPr>
    </w:p>
    <w:p w:rsidR="008228C8" w:rsidRPr="008228C8" w:rsidRDefault="008228C8" w:rsidP="00742B62">
      <w:pPr>
        <w:spacing w:line="360" w:lineRule="auto"/>
        <w:ind w:firstLine="720"/>
        <w:jc w:val="both"/>
        <w:rPr>
          <w:rFonts w:ascii="FrankRuehl" w:eastAsia="Calibri" w:hAnsi="FrankRuehl" w:cs="FrankRuehl"/>
          <w:sz w:val="28"/>
          <w:szCs w:val="28"/>
          <w:rtl/>
        </w:rPr>
      </w:pPr>
      <w:r w:rsidRPr="008228C8">
        <w:rPr>
          <w:rFonts w:ascii="FrankRuehl" w:eastAsia="Calibri" w:hAnsi="FrankRuehl" w:cs="Miriam"/>
          <w:b/>
          <w:sz w:val="28"/>
          <w:rtl/>
        </w:rPr>
        <w:t xml:space="preserve">ענין גולן: </w:t>
      </w:r>
      <w:r w:rsidRPr="008228C8">
        <w:rPr>
          <w:rFonts w:ascii="FrankRuehl" w:eastAsia="Calibri" w:hAnsi="FrankRuehl" w:cs="FrankRuehl"/>
          <w:sz w:val="28"/>
          <w:szCs w:val="28"/>
          <w:rtl/>
        </w:rPr>
        <w:t xml:space="preserve">גידול 5,696 שתילי סם מסוג קנאביס במשקל 5,078 גרם, החזקת סמים שלא לצריכה עצמית – קנאביס במשקל כולל 1,265 גרם וחשיש במשקל 100 גרם, והחזקת כלים להכנת סם לא לצריכה עצמית. </w:t>
      </w:r>
      <w:r w:rsidR="001870E8">
        <w:rPr>
          <w:rFonts w:ascii="FrankRuehl" w:eastAsia="Calibri" w:hAnsi="FrankRuehl" w:cs="FrankRuehl"/>
          <w:sz w:val="28"/>
          <w:szCs w:val="28"/>
          <w:rtl/>
        </w:rPr>
        <w:t>בניגוד לטענת ההגנה</w:t>
      </w:r>
      <w:r w:rsidRPr="008228C8">
        <w:rPr>
          <w:rFonts w:ascii="FrankRuehl" w:eastAsia="Calibri" w:hAnsi="FrankRuehl" w:cs="FrankRuehl"/>
          <w:sz w:val="28"/>
          <w:szCs w:val="28"/>
          <w:rtl/>
        </w:rPr>
        <w:t xml:space="preserve">, </w:t>
      </w:r>
      <w:r w:rsidR="007F2856">
        <w:rPr>
          <w:rFonts w:ascii="FrankRuehl" w:eastAsia="Calibri" w:hAnsi="FrankRuehl" w:cs="FrankRuehl" w:hint="cs"/>
          <w:sz w:val="28"/>
          <w:szCs w:val="28"/>
          <w:rtl/>
        </w:rPr>
        <w:t xml:space="preserve">כי אין לייחס משמעות לכמות השתילים, </w:t>
      </w:r>
      <w:r w:rsidRPr="008228C8">
        <w:rPr>
          <w:rFonts w:ascii="FrankRuehl" w:eastAsia="Calibri" w:hAnsi="FrankRuehl" w:cs="FrankRuehl"/>
          <w:sz w:val="28"/>
          <w:szCs w:val="28"/>
          <w:rtl/>
        </w:rPr>
        <w:t xml:space="preserve">בית המשפט הסכים עם המאשימה, </w:t>
      </w:r>
      <w:r w:rsidR="001870E8">
        <w:rPr>
          <w:rFonts w:ascii="FrankRuehl" w:eastAsia="Calibri" w:hAnsi="FrankRuehl" w:cs="FrankRuehl" w:hint="cs"/>
          <w:sz w:val="28"/>
          <w:szCs w:val="28"/>
          <w:rtl/>
        </w:rPr>
        <w:t xml:space="preserve">בקובעו </w:t>
      </w:r>
      <w:r w:rsidRPr="008228C8">
        <w:rPr>
          <w:rFonts w:ascii="FrankRuehl" w:eastAsia="Calibri" w:hAnsi="FrankRuehl" w:cs="FrankRuehl"/>
          <w:sz w:val="28"/>
          <w:szCs w:val="28"/>
          <w:rtl/>
        </w:rPr>
        <w:t xml:space="preserve">כי </w:t>
      </w:r>
      <w:r w:rsidRPr="00981BF8">
        <w:rPr>
          <w:rFonts w:ascii="FrankRuehl" w:eastAsia="Calibri" w:hAnsi="FrankRuehl" w:cs="Miriam"/>
          <w:b/>
          <w:sz w:val="28"/>
          <w:rtl/>
        </w:rPr>
        <w:t>"כמות השתילים היא נסיבה לחומרה..."</w:t>
      </w:r>
      <w:r w:rsidRPr="008228C8">
        <w:rPr>
          <w:rFonts w:ascii="FrankRuehl" w:eastAsia="Calibri" w:hAnsi="FrankRuehl" w:cs="FrankRuehl"/>
          <w:sz w:val="28"/>
          <w:szCs w:val="28"/>
          <w:rtl/>
        </w:rPr>
        <w:t xml:space="preserve">. נקבע מתחם עונש בין 24-9 חודשי מאסר בפועל. </w:t>
      </w:r>
      <w:r w:rsidR="00742B62">
        <w:rPr>
          <w:rFonts w:ascii="FrankRuehl" w:eastAsia="Calibri" w:hAnsi="FrankRuehl" w:cs="FrankRuehl" w:hint="cs"/>
          <w:sz w:val="28"/>
          <w:szCs w:val="28"/>
          <w:rtl/>
        </w:rPr>
        <w:t>ב</w:t>
      </w:r>
      <w:r w:rsidRPr="008228C8">
        <w:rPr>
          <w:rFonts w:ascii="FrankRuehl" w:eastAsia="Calibri" w:hAnsi="FrankRuehl" w:cs="FrankRuehl"/>
          <w:sz w:val="28"/>
          <w:szCs w:val="28"/>
          <w:rtl/>
        </w:rPr>
        <w:t>ענ</w:t>
      </w:r>
      <w:r w:rsidR="00742B62">
        <w:rPr>
          <w:rFonts w:ascii="FrankRuehl" w:eastAsia="Calibri" w:hAnsi="FrankRuehl" w:cs="FrankRuehl"/>
          <w:sz w:val="28"/>
          <w:szCs w:val="28"/>
          <w:rtl/>
        </w:rPr>
        <w:t>יננו</w:t>
      </w:r>
      <w:r w:rsidRPr="008228C8">
        <w:rPr>
          <w:rFonts w:ascii="FrankRuehl" w:eastAsia="Calibri" w:hAnsi="FrankRuehl" w:cs="FrankRuehl"/>
          <w:sz w:val="28"/>
          <w:szCs w:val="28"/>
          <w:rtl/>
        </w:rPr>
        <w:t xml:space="preserve"> כמות השתילים כמעט כפולה,</w:t>
      </w:r>
      <w:r w:rsidR="00742B62">
        <w:rPr>
          <w:rFonts w:ascii="FrankRuehl" w:eastAsia="Calibri" w:hAnsi="FrankRuehl" w:cs="FrankRuehl"/>
          <w:sz w:val="28"/>
          <w:szCs w:val="28"/>
          <w:rtl/>
        </w:rPr>
        <w:t xml:space="preserve"> ומשקלם אף הוא גדול במידה ניכרת</w:t>
      </w:r>
      <w:r w:rsidR="00742B62">
        <w:rPr>
          <w:rFonts w:ascii="FrankRuehl" w:eastAsia="Calibri" w:hAnsi="FrankRuehl" w:cs="FrankRuehl" w:hint="cs"/>
          <w:sz w:val="28"/>
          <w:szCs w:val="28"/>
          <w:rtl/>
        </w:rPr>
        <w:t>, ויש לתת לכך ביטוי בקביעת</w:t>
      </w:r>
      <w:r w:rsidRPr="008228C8">
        <w:rPr>
          <w:rFonts w:ascii="FrankRuehl" w:eastAsia="Calibri" w:hAnsi="FrankRuehl" w:cs="FrankRuehl"/>
          <w:sz w:val="28"/>
          <w:szCs w:val="28"/>
          <w:rtl/>
        </w:rPr>
        <w:t xml:space="preserve"> מתחם העונש</w:t>
      </w:r>
      <w:r w:rsidR="00742B62">
        <w:rPr>
          <w:rFonts w:ascii="FrankRuehl" w:eastAsia="Calibri" w:hAnsi="FrankRuehl" w:cs="FrankRuehl" w:hint="cs"/>
          <w:sz w:val="28"/>
          <w:szCs w:val="28"/>
          <w:rtl/>
        </w:rPr>
        <w:t>.</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EF1CDB">
      <w:pPr>
        <w:spacing w:line="360" w:lineRule="auto"/>
        <w:ind w:firstLine="720"/>
        <w:jc w:val="both"/>
        <w:rPr>
          <w:rFonts w:ascii="FrankRuehl" w:eastAsia="Calibri" w:hAnsi="FrankRuehl" w:cs="FrankRuehl"/>
          <w:sz w:val="28"/>
          <w:szCs w:val="28"/>
          <w:rtl/>
        </w:rPr>
      </w:pPr>
      <w:r w:rsidRPr="008228C8">
        <w:rPr>
          <w:rFonts w:ascii="FrankRuehl" w:eastAsia="Calibri" w:hAnsi="FrankRuehl" w:cs="Miriam"/>
          <w:b/>
          <w:sz w:val="28"/>
          <w:rtl/>
        </w:rPr>
        <w:t xml:space="preserve">ענין חג'ג': </w:t>
      </w:r>
      <w:r w:rsidRPr="008228C8">
        <w:rPr>
          <w:rFonts w:ascii="FrankRuehl" w:eastAsia="Calibri" w:hAnsi="FrankRuehl" w:cs="FrankRuehl"/>
          <w:sz w:val="28"/>
          <w:szCs w:val="28"/>
          <w:rtl/>
        </w:rPr>
        <w:t>גידול 916 שתילי סם מסוג קנאביס במשקל כולל כ-9 ק"ג, החזקת חצרים והחזקת כלים להכנת סם לא לצריכה עצמית. נקבע מתחם עונש בין 24-8 חודשי מאסר בפועל. גם במקרה זה</w:t>
      </w:r>
      <w:r w:rsidR="007E474D">
        <w:rPr>
          <w:rFonts w:ascii="FrankRuehl" w:eastAsia="Calibri" w:hAnsi="FrankRuehl" w:cs="FrankRuehl" w:hint="cs"/>
          <w:sz w:val="28"/>
          <w:szCs w:val="28"/>
          <w:rtl/>
        </w:rPr>
        <w:t xml:space="preserve"> התחשב בית המשפט בכמות השתילים, בקובעו</w:t>
      </w:r>
      <w:r w:rsidRPr="008228C8">
        <w:rPr>
          <w:rFonts w:ascii="FrankRuehl" w:eastAsia="Calibri" w:hAnsi="FrankRuehl" w:cs="FrankRuehl"/>
          <w:sz w:val="28"/>
          <w:szCs w:val="28"/>
          <w:rtl/>
        </w:rPr>
        <w:t xml:space="preserve"> כי </w:t>
      </w:r>
      <w:r w:rsidRPr="00981BF8">
        <w:rPr>
          <w:rFonts w:ascii="FrankRuehl" w:eastAsia="Calibri" w:hAnsi="FrankRuehl" w:cs="Miriam"/>
          <w:b/>
          <w:sz w:val="28"/>
          <w:rtl/>
        </w:rPr>
        <w:t>"...כמות השתילים הגדולה מלמדת הן על הנזק שצפוי היה להיגרם בשל זליגת הסמים לציבור המשתמשים הפוטנציאליים, והן על הרווח שעתיד היה הנאשם להפיק ממכירתם של הסמים"</w:t>
      </w:r>
      <w:r w:rsidRPr="008228C8">
        <w:rPr>
          <w:rFonts w:ascii="FrankRuehl" w:eastAsia="Calibri" w:hAnsi="FrankRuehl" w:cs="FrankRuehl"/>
          <w:sz w:val="28"/>
          <w:szCs w:val="28"/>
          <w:rtl/>
        </w:rPr>
        <w:t xml:space="preserve"> (פסקה 50). </w:t>
      </w:r>
      <w:r w:rsidR="007E474D">
        <w:rPr>
          <w:rFonts w:ascii="FrankRuehl" w:eastAsia="Calibri" w:hAnsi="FrankRuehl" w:cs="FrankRuehl" w:hint="cs"/>
          <w:sz w:val="28"/>
          <w:szCs w:val="28"/>
          <w:rtl/>
        </w:rPr>
        <w:t>לטובתו של הנאשם</w:t>
      </w:r>
      <w:r w:rsidRPr="008228C8">
        <w:rPr>
          <w:rFonts w:ascii="FrankRuehl" w:eastAsia="Calibri" w:hAnsi="FrankRuehl" w:cs="FrankRuehl"/>
          <w:sz w:val="28"/>
          <w:szCs w:val="28"/>
          <w:rtl/>
        </w:rPr>
        <w:t xml:space="preserve"> התחשב בית המשפט בקביעת המתחם</w:t>
      </w:r>
      <w:r w:rsidR="007E474D">
        <w:rPr>
          <w:rFonts w:ascii="FrankRuehl" w:eastAsia="Calibri" w:hAnsi="FrankRuehl" w:cs="FrankRuehl" w:hint="cs"/>
          <w:sz w:val="28"/>
          <w:szCs w:val="28"/>
          <w:rtl/>
        </w:rPr>
        <w:t>,</w:t>
      </w:r>
      <w:r w:rsidRPr="008228C8">
        <w:rPr>
          <w:rFonts w:ascii="FrankRuehl" w:eastAsia="Calibri" w:hAnsi="FrankRuehl" w:cs="FrankRuehl"/>
          <w:sz w:val="28"/>
          <w:szCs w:val="28"/>
          <w:rtl/>
        </w:rPr>
        <w:t xml:space="preserve"> בכך ש</w:t>
      </w:r>
      <w:r w:rsidRPr="00981BF8">
        <w:rPr>
          <w:rFonts w:ascii="FrankRuehl" w:eastAsia="Calibri" w:hAnsi="FrankRuehl" w:cs="Miriam"/>
          <w:b/>
          <w:sz w:val="28"/>
          <w:rtl/>
        </w:rPr>
        <w:t>"הנאשם הוא זה שפעל בעצמו וביוזמתו לסיכול המיזם העברייני שהקים במיטב כספו, משום החרטה הכבדה שחש עקב מעשיו האסורים"</w:t>
      </w:r>
      <w:r w:rsidR="00881AB2">
        <w:rPr>
          <w:rFonts w:ascii="FrankRuehl" w:eastAsia="Calibri" w:hAnsi="FrankRuehl" w:cs="FrankRuehl" w:hint="cs"/>
          <w:sz w:val="28"/>
          <w:szCs w:val="28"/>
          <w:rtl/>
        </w:rPr>
        <w:t>.</w:t>
      </w:r>
      <w:r w:rsidR="00881AB2">
        <w:rPr>
          <w:rFonts w:ascii="FrankRuehl" w:eastAsia="Calibri" w:hAnsi="FrankRuehl" w:cs="FrankRuehl"/>
          <w:sz w:val="28"/>
          <w:szCs w:val="28"/>
          <w:rtl/>
        </w:rPr>
        <w:t xml:space="preserve"> </w:t>
      </w:r>
      <w:r w:rsidR="00881AB2">
        <w:rPr>
          <w:rFonts w:ascii="FrankRuehl" w:eastAsia="Calibri" w:hAnsi="FrankRuehl" w:cs="FrankRuehl" w:hint="cs"/>
          <w:sz w:val="28"/>
          <w:szCs w:val="28"/>
          <w:rtl/>
        </w:rPr>
        <w:t>נ</w:t>
      </w:r>
      <w:r w:rsidRPr="008228C8">
        <w:rPr>
          <w:rFonts w:ascii="FrankRuehl" w:eastAsia="Calibri" w:hAnsi="FrankRuehl" w:cs="FrankRuehl"/>
          <w:sz w:val="28"/>
          <w:szCs w:val="28"/>
          <w:rtl/>
        </w:rPr>
        <w:t>קבע כי מידת אש</w:t>
      </w:r>
      <w:r w:rsidR="00881AB2">
        <w:rPr>
          <w:rFonts w:ascii="FrankRuehl" w:eastAsia="Calibri" w:hAnsi="FrankRuehl" w:cs="FrankRuehl" w:hint="cs"/>
          <w:sz w:val="28"/>
          <w:szCs w:val="28"/>
          <w:rtl/>
        </w:rPr>
        <w:t>מו</w:t>
      </w:r>
      <w:r w:rsidRPr="008228C8">
        <w:rPr>
          <w:rFonts w:ascii="FrankRuehl" w:eastAsia="Calibri" w:hAnsi="FrankRuehl" w:cs="FrankRuehl"/>
          <w:sz w:val="28"/>
          <w:szCs w:val="28"/>
          <w:rtl/>
        </w:rPr>
        <w:t xml:space="preserve"> מופחתת, בין השאר </w:t>
      </w:r>
      <w:r w:rsidR="00881AB2">
        <w:rPr>
          <w:rFonts w:ascii="FrankRuehl" w:eastAsia="Calibri" w:hAnsi="FrankRuehl" w:cs="FrankRuehl" w:hint="cs"/>
          <w:sz w:val="28"/>
          <w:szCs w:val="28"/>
          <w:rtl/>
        </w:rPr>
        <w:t xml:space="preserve">כדי לתת </w:t>
      </w:r>
      <w:r w:rsidRPr="008228C8">
        <w:rPr>
          <w:rFonts w:ascii="FrankRuehl" w:eastAsia="Calibri" w:hAnsi="FrankRuehl" w:cs="FrankRuehl"/>
          <w:sz w:val="28"/>
          <w:szCs w:val="28"/>
          <w:rtl/>
        </w:rPr>
        <w:t xml:space="preserve">תמריץ לעבריינים להפסיק את תוכניותיהם באיבן. </w:t>
      </w:r>
      <w:r w:rsidR="00881AB2">
        <w:rPr>
          <w:rFonts w:ascii="FrankRuehl" w:eastAsia="Calibri" w:hAnsi="FrankRuehl" w:cs="FrankRuehl" w:hint="cs"/>
          <w:sz w:val="28"/>
          <w:szCs w:val="28"/>
          <w:rtl/>
        </w:rPr>
        <w:t>בעניננו משקלם הכולל של הסמים דומה</w:t>
      </w:r>
      <w:r w:rsidRPr="008228C8">
        <w:rPr>
          <w:rFonts w:ascii="FrankRuehl" w:eastAsia="Calibri" w:hAnsi="FrankRuehl" w:cs="FrankRuehl"/>
          <w:sz w:val="28"/>
          <w:szCs w:val="28"/>
          <w:rtl/>
        </w:rPr>
        <w:t xml:space="preserve">, </w:t>
      </w:r>
      <w:r w:rsidR="00881AB2">
        <w:rPr>
          <w:rFonts w:ascii="FrankRuehl" w:eastAsia="Calibri" w:hAnsi="FrankRuehl" w:cs="FrankRuehl" w:hint="cs"/>
          <w:sz w:val="28"/>
          <w:szCs w:val="28"/>
          <w:rtl/>
        </w:rPr>
        <w:t xml:space="preserve">אך </w:t>
      </w:r>
      <w:r w:rsidRPr="008228C8">
        <w:rPr>
          <w:rFonts w:ascii="FrankRuehl" w:eastAsia="Calibri" w:hAnsi="FrankRuehl" w:cs="FrankRuehl"/>
          <w:sz w:val="28"/>
          <w:szCs w:val="28"/>
          <w:rtl/>
        </w:rPr>
        <w:t>כמות השתילים עולה פי 11 לערך</w:t>
      </w:r>
      <w:r w:rsidR="00EF1CDB">
        <w:rPr>
          <w:rFonts w:ascii="FrankRuehl" w:eastAsia="Calibri" w:hAnsi="FrankRuehl" w:cs="FrankRuehl" w:hint="cs"/>
          <w:sz w:val="28"/>
          <w:szCs w:val="28"/>
          <w:rtl/>
        </w:rPr>
        <w:t>, ו</w:t>
      </w:r>
      <w:r w:rsidRPr="008228C8">
        <w:rPr>
          <w:rFonts w:ascii="FrankRuehl" w:eastAsia="Calibri" w:hAnsi="FrankRuehl" w:cs="FrankRuehl"/>
          <w:sz w:val="28"/>
          <w:szCs w:val="28"/>
          <w:rtl/>
        </w:rPr>
        <w:t xml:space="preserve">העבירות הופסקו </w:t>
      </w:r>
      <w:r w:rsidR="00EF1CDB">
        <w:rPr>
          <w:rFonts w:ascii="FrankRuehl" w:eastAsia="Calibri" w:hAnsi="FrankRuehl" w:cs="FrankRuehl" w:hint="cs"/>
          <w:sz w:val="28"/>
          <w:szCs w:val="28"/>
          <w:rtl/>
        </w:rPr>
        <w:t xml:space="preserve">בעקבות </w:t>
      </w:r>
      <w:r w:rsidRPr="008228C8">
        <w:rPr>
          <w:rFonts w:ascii="FrankRuehl" w:eastAsia="Calibri" w:hAnsi="FrankRuehl" w:cs="FrankRuehl"/>
          <w:sz w:val="28"/>
          <w:szCs w:val="28"/>
          <w:rtl/>
        </w:rPr>
        <w:t xml:space="preserve">פעילותה של משטרת ישראל, ולא מחמת חרטה של הנאשמים. </w:t>
      </w:r>
      <w:r w:rsidR="00EF1CDB">
        <w:rPr>
          <w:rFonts w:ascii="FrankRuehl" w:eastAsia="Calibri" w:hAnsi="FrankRuehl" w:cs="FrankRuehl" w:hint="cs"/>
          <w:sz w:val="28"/>
          <w:szCs w:val="28"/>
          <w:rtl/>
        </w:rPr>
        <w:t>היינו, אף גזר הדין בענין חג'ג' איננו מתיישב עם עתירת ההגנה לעונש.</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6215CF" w:rsidP="008228C8">
      <w:pPr>
        <w:spacing w:line="360" w:lineRule="auto"/>
        <w:jc w:val="both"/>
        <w:rPr>
          <w:rFonts w:ascii="FrankRuehl" w:eastAsia="Calibri" w:hAnsi="FrankRuehl" w:cs="FrankRuehl"/>
          <w:sz w:val="28"/>
          <w:szCs w:val="28"/>
          <w:rtl/>
        </w:rPr>
      </w:pPr>
      <w:r>
        <w:rPr>
          <w:rFonts w:ascii="FrankRuehl" w:eastAsia="Calibri" w:hAnsi="FrankRuehl" w:cs="FrankRuehl" w:hint="cs"/>
          <w:sz w:val="28"/>
          <w:szCs w:val="28"/>
          <w:rtl/>
        </w:rPr>
        <w:t>10</w:t>
      </w:r>
      <w:r w:rsidR="008228C8" w:rsidRPr="008228C8">
        <w:rPr>
          <w:rFonts w:ascii="FrankRuehl" w:eastAsia="Calibri" w:hAnsi="FrankRuehl" w:cs="FrankRuehl"/>
          <w:sz w:val="28"/>
          <w:szCs w:val="28"/>
          <w:rtl/>
        </w:rPr>
        <w:t>.</w:t>
      </w:r>
      <w:r w:rsidR="008228C8" w:rsidRPr="008228C8">
        <w:rPr>
          <w:rFonts w:ascii="FrankRuehl" w:eastAsia="Calibri" w:hAnsi="FrankRuehl" w:cs="FrankRuehl"/>
          <w:sz w:val="28"/>
          <w:szCs w:val="28"/>
          <w:rtl/>
        </w:rPr>
        <w:tab/>
        <w:t>עוד באשר למדיניות הענישה בעבירות גידול סמים, ראו פסקי הדין שלהלן:</w:t>
      </w:r>
    </w:p>
    <w:p w:rsidR="008228C8" w:rsidRPr="008228C8" w:rsidRDefault="008228C8" w:rsidP="008228C8">
      <w:pPr>
        <w:spacing w:line="360" w:lineRule="auto"/>
        <w:ind w:firstLine="720"/>
        <w:jc w:val="both"/>
        <w:rPr>
          <w:rFonts w:ascii="FrankRuehl" w:eastAsia="Calibri" w:hAnsi="FrankRuehl" w:cs="FrankRuehl"/>
          <w:sz w:val="28"/>
          <w:szCs w:val="28"/>
          <w:rtl/>
        </w:rPr>
      </w:pPr>
    </w:p>
    <w:p w:rsidR="008228C8" w:rsidRPr="008228C8" w:rsidRDefault="008228C8" w:rsidP="008228C8">
      <w:pPr>
        <w:spacing w:line="360" w:lineRule="auto"/>
        <w:ind w:firstLine="720"/>
        <w:jc w:val="both"/>
        <w:rPr>
          <w:rFonts w:ascii="FrankRuehl" w:eastAsia="Calibri" w:hAnsi="FrankRuehl" w:cs="FrankRuehl"/>
          <w:sz w:val="28"/>
          <w:szCs w:val="28"/>
          <w:rtl/>
        </w:rPr>
      </w:pPr>
      <w:r w:rsidRPr="008228C8">
        <w:rPr>
          <w:rFonts w:ascii="FrankRuehl" w:eastAsia="Calibri" w:hAnsi="FrankRuehl" w:cs="FrankRuehl"/>
          <w:sz w:val="28"/>
          <w:szCs w:val="28"/>
          <w:rtl/>
        </w:rPr>
        <w:t xml:space="preserve">רע"פ 513/21 </w:t>
      </w:r>
      <w:r w:rsidRPr="008228C8">
        <w:rPr>
          <w:rFonts w:ascii="FrankRuehl" w:eastAsia="Calibri" w:hAnsi="FrankRuehl" w:cs="Miriam"/>
          <w:sz w:val="28"/>
          <w:rtl/>
        </w:rPr>
        <w:t>עידן יהושע נ' מדינת ישראל</w:t>
      </w:r>
      <w:r w:rsidRPr="008228C8">
        <w:rPr>
          <w:rFonts w:ascii="FrankRuehl" w:eastAsia="Calibri" w:hAnsi="FrankRuehl" w:cs="FrankRuehl"/>
          <w:sz w:val="28"/>
          <w:szCs w:val="28"/>
          <w:rtl/>
        </w:rPr>
        <w:t xml:space="preserve"> (4.3.21) (הוגש ע"י המאשימה). 60 שתילי קנאביס במשקל 10 ק"ג אשר גודלו במחסן, והחזקת ציוד לגידול. נקבע מתחם 24-6 חודשי מאסר ממנו חרג בית משפט השלום לקולה, וגזר על המבקש של"צ, צו מבחן ועונשים נלווים. בית המשפט המחוזי קיבל את ערעור המדינה, קבע כי הרף התחתון שנקבע אינו משקף את מדיניות הענישה הראויה המחייבת מאסר בפועל לתקופה משמעותית, והעמיד את העונש על 10 חודשי מאסר בפועל</w:t>
      </w:r>
      <w:r w:rsidR="009E330B">
        <w:rPr>
          <w:rFonts w:ascii="FrankRuehl" w:eastAsia="Calibri" w:hAnsi="FrankRuehl" w:cs="FrankRuehl" w:hint="cs"/>
          <w:sz w:val="28"/>
          <w:szCs w:val="28"/>
          <w:rtl/>
        </w:rPr>
        <w:t>,</w:t>
      </w:r>
      <w:r w:rsidRPr="008228C8">
        <w:rPr>
          <w:rFonts w:ascii="FrankRuehl" w:eastAsia="Calibri" w:hAnsi="FrankRuehl" w:cs="FrankRuehl"/>
          <w:sz w:val="28"/>
          <w:szCs w:val="28"/>
          <w:rtl/>
        </w:rPr>
        <w:t xml:space="preserve"> לאחר שחרג לקולה מהמתחם משיקולי שיקום. הבקשה לרשות ערעור נדחתה.</w:t>
      </w:r>
    </w:p>
    <w:p w:rsidR="008228C8" w:rsidRPr="008228C8" w:rsidRDefault="008228C8" w:rsidP="008228C8">
      <w:pPr>
        <w:spacing w:line="360" w:lineRule="auto"/>
        <w:ind w:firstLine="720"/>
        <w:jc w:val="both"/>
        <w:rPr>
          <w:rFonts w:ascii="FrankRuehl" w:eastAsia="Calibri" w:hAnsi="FrankRuehl" w:cs="FrankRuehl"/>
          <w:sz w:val="28"/>
          <w:szCs w:val="28"/>
          <w:rtl/>
        </w:rPr>
      </w:pPr>
    </w:p>
    <w:p w:rsidR="008228C8" w:rsidRPr="008228C8" w:rsidRDefault="008228C8" w:rsidP="008228C8">
      <w:pPr>
        <w:spacing w:line="360" w:lineRule="auto"/>
        <w:ind w:firstLine="720"/>
        <w:jc w:val="both"/>
        <w:rPr>
          <w:rFonts w:ascii="FrankRuehl" w:eastAsia="Calibri" w:hAnsi="FrankRuehl" w:cs="FrankRuehl"/>
          <w:sz w:val="28"/>
          <w:szCs w:val="28"/>
          <w:rtl/>
        </w:rPr>
      </w:pPr>
      <w:r w:rsidRPr="008228C8">
        <w:rPr>
          <w:rFonts w:ascii="FrankRuehl" w:eastAsia="Calibri" w:hAnsi="FrankRuehl" w:cs="FrankRuehl"/>
          <w:sz w:val="28"/>
          <w:szCs w:val="28"/>
          <w:rtl/>
        </w:rPr>
        <w:t xml:space="preserve">רע"פ 2870/18 </w:t>
      </w:r>
      <w:r w:rsidRPr="008228C8">
        <w:rPr>
          <w:rFonts w:ascii="FrankRuehl" w:eastAsia="Calibri" w:hAnsi="FrankRuehl" w:cs="Miriam"/>
          <w:b/>
          <w:sz w:val="28"/>
          <w:rtl/>
        </w:rPr>
        <w:t xml:space="preserve">ניר כהן נ' מדינת ישראל </w:t>
      </w:r>
      <w:r w:rsidRPr="008228C8">
        <w:rPr>
          <w:rFonts w:ascii="FrankRuehl" w:eastAsia="Calibri" w:hAnsi="FrankRuehl" w:cs="FrankRuehl"/>
          <w:sz w:val="28"/>
          <w:szCs w:val="28"/>
          <w:rtl/>
        </w:rPr>
        <w:t>(11.6.18) (הוגש ע"י המאשימה). גידול 286 שתילי קנאביס במשקל 2.850 ק"ג נטו, החזקת 542.6 גרם קנאביס שלא לצריכה עצמית והחזקת כלים לגידול סמים. בית משפט השלום קבע את מתחם העונש בין 24-6 חודשי מאסר בפועל, וגזר את עונשו של המבקש בתחתית המתחם, ל-6 חודשי מאסר בפועל שירוצו בעבודות שירות. בית המשפט המחוזי קיבל את ערעור המשיבה, קבע כי המתחם איננו משקף את הענישה הנוהגת, והעמיד את עונשו של המבקש על 9 חודשי מאסר לריצוי בפועל. הבקשה לרשות ערעור נדחתה.</w:t>
      </w:r>
    </w:p>
    <w:p w:rsidR="008228C8" w:rsidRPr="008228C8" w:rsidRDefault="008228C8" w:rsidP="008228C8">
      <w:pPr>
        <w:spacing w:line="360" w:lineRule="auto"/>
        <w:ind w:firstLine="720"/>
        <w:jc w:val="both"/>
        <w:rPr>
          <w:rFonts w:ascii="FrankRuehl" w:eastAsia="Calibri" w:hAnsi="FrankRuehl" w:cs="FrankRuehl"/>
          <w:sz w:val="28"/>
          <w:szCs w:val="28"/>
          <w:rtl/>
        </w:rPr>
      </w:pPr>
    </w:p>
    <w:p w:rsidR="008228C8" w:rsidRPr="008228C8" w:rsidRDefault="008228C8" w:rsidP="008228C8">
      <w:pPr>
        <w:spacing w:line="360" w:lineRule="auto"/>
        <w:ind w:firstLine="720"/>
        <w:jc w:val="both"/>
        <w:rPr>
          <w:rFonts w:ascii="FrankRuehl" w:eastAsia="Calibri" w:hAnsi="FrankRuehl" w:cs="FrankRuehl"/>
          <w:sz w:val="28"/>
          <w:szCs w:val="28"/>
          <w:rtl/>
        </w:rPr>
      </w:pPr>
      <w:r w:rsidRPr="008228C8">
        <w:rPr>
          <w:rFonts w:ascii="FrankRuehl" w:eastAsia="Calibri" w:hAnsi="FrankRuehl" w:cs="FrankRuehl"/>
          <w:sz w:val="28"/>
          <w:szCs w:val="28"/>
          <w:rtl/>
        </w:rPr>
        <w:t xml:space="preserve">רע"פ 666/20 </w:t>
      </w:r>
      <w:r w:rsidRPr="008228C8">
        <w:rPr>
          <w:rFonts w:ascii="FrankRuehl" w:eastAsia="Calibri" w:hAnsi="FrankRuehl" w:cs="Miriam"/>
          <w:b/>
          <w:sz w:val="28"/>
          <w:rtl/>
        </w:rPr>
        <w:t xml:space="preserve">רון עמרם נ' מדינת ישראל </w:t>
      </w:r>
      <w:r w:rsidRPr="008228C8">
        <w:rPr>
          <w:rFonts w:ascii="FrankRuehl" w:eastAsia="Calibri" w:hAnsi="FrankRuehl" w:cs="FrankRuehl"/>
          <w:sz w:val="28"/>
          <w:szCs w:val="28"/>
          <w:rtl/>
        </w:rPr>
        <w:t>(3.2.20). גידול בשתי מעבדות של מעל 100 שתילי קנאביס במשקל כ-10 ק"ג, וסם שחולק לשקיות במשקל כולל כ-1.7 ק"ג. בית משפט השלום קבע את מתחם העונש בין 36-15 חודשי מאסר בפועל, חרג ממנו משיקולי שיקום, וגזר על המבקש שנת מאסר בפועל. ערעורו על חומרת העונש נדחה, וכך גם בקשתו לרשות ערעור.</w:t>
      </w:r>
    </w:p>
    <w:p w:rsidR="008228C8" w:rsidRPr="008228C8" w:rsidRDefault="008228C8" w:rsidP="008228C8">
      <w:pPr>
        <w:spacing w:line="360" w:lineRule="auto"/>
        <w:ind w:firstLine="720"/>
        <w:jc w:val="both"/>
        <w:rPr>
          <w:rFonts w:ascii="FrankRuehl" w:eastAsia="Calibri" w:hAnsi="FrankRuehl" w:cs="FrankRuehl"/>
          <w:sz w:val="28"/>
          <w:szCs w:val="28"/>
          <w:rtl/>
        </w:rPr>
      </w:pPr>
    </w:p>
    <w:p w:rsidR="008228C8" w:rsidRPr="008228C8" w:rsidRDefault="008228C8" w:rsidP="008228C8">
      <w:pPr>
        <w:spacing w:line="360" w:lineRule="auto"/>
        <w:ind w:firstLine="720"/>
        <w:jc w:val="both"/>
        <w:rPr>
          <w:rFonts w:ascii="FrankRuehl" w:eastAsia="Calibri" w:hAnsi="FrankRuehl" w:cs="FrankRuehl"/>
          <w:sz w:val="28"/>
          <w:szCs w:val="28"/>
          <w:rtl/>
        </w:rPr>
      </w:pPr>
      <w:r w:rsidRPr="008228C8">
        <w:rPr>
          <w:rFonts w:ascii="FrankRuehl" w:eastAsia="Calibri" w:hAnsi="FrankRuehl" w:cs="FrankRuehl"/>
          <w:sz w:val="28"/>
          <w:szCs w:val="28"/>
          <w:rtl/>
        </w:rPr>
        <w:t xml:space="preserve">רע"פ 7906/19 </w:t>
      </w:r>
      <w:r w:rsidRPr="008228C8">
        <w:rPr>
          <w:rFonts w:ascii="FrankRuehl" w:eastAsia="Calibri" w:hAnsi="FrankRuehl" w:cs="Miriam"/>
          <w:b/>
          <w:sz w:val="28"/>
          <w:rtl/>
        </w:rPr>
        <w:t xml:space="preserve">אברהם אדרי נ' מדינת ישראל </w:t>
      </w:r>
      <w:r w:rsidRPr="008228C8">
        <w:rPr>
          <w:rFonts w:ascii="FrankRuehl" w:eastAsia="Calibri" w:hAnsi="FrankRuehl" w:cs="FrankRuehl"/>
          <w:sz w:val="28"/>
          <w:szCs w:val="28"/>
          <w:rtl/>
        </w:rPr>
        <w:t xml:space="preserve">(3.12.19). המבקש הורשע בהתאם להודאתו </w:t>
      </w:r>
      <w:r w:rsidRPr="008228C8">
        <w:rPr>
          <w:rFonts w:ascii="Miriam" w:eastAsia="Calibri" w:hAnsi="Miriam" w:cs="Miriam"/>
          <w:rtl/>
        </w:rPr>
        <w:t>בסיוע</w:t>
      </w:r>
      <w:r w:rsidRPr="008228C8">
        <w:rPr>
          <w:rFonts w:ascii="FrankRuehl" w:eastAsia="Calibri" w:hAnsi="FrankRuehl" w:cs="FrankRuehl"/>
          <w:sz w:val="28"/>
          <w:szCs w:val="28"/>
          <w:rtl/>
        </w:rPr>
        <w:t xml:space="preserve"> לגידול סמים, </w:t>
      </w:r>
      <w:r w:rsidRPr="008228C8">
        <w:rPr>
          <w:rFonts w:ascii="Miriam" w:eastAsia="Calibri" w:hAnsi="Miriam" w:cs="Miriam"/>
          <w:rtl/>
        </w:rPr>
        <w:t xml:space="preserve">סיוע </w:t>
      </w:r>
      <w:r w:rsidRPr="008228C8">
        <w:rPr>
          <w:rFonts w:ascii="FrankRuehl" w:eastAsia="Calibri" w:hAnsi="FrankRuehl" w:cs="FrankRuehl"/>
          <w:sz w:val="28"/>
          <w:szCs w:val="28"/>
          <w:rtl/>
        </w:rPr>
        <w:t xml:space="preserve">להחזקת סמים שלא לצריכה עצמית, </w:t>
      </w:r>
      <w:r w:rsidRPr="008228C8">
        <w:rPr>
          <w:rFonts w:ascii="Miriam" w:eastAsia="Calibri" w:hAnsi="Miriam" w:cs="Miriam"/>
          <w:rtl/>
        </w:rPr>
        <w:t xml:space="preserve">וסיוע </w:t>
      </w:r>
      <w:r w:rsidRPr="008228C8">
        <w:rPr>
          <w:rFonts w:ascii="FrankRuehl" w:eastAsia="Calibri" w:hAnsi="FrankRuehl" w:cs="FrankRuehl"/>
          <w:sz w:val="28"/>
          <w:szCs w:val="28"/>
          <w:rtl/>
        </w:rPr>
        <w:t xml:space="preserve">להחזקת כלים להכנת סם שלא לצריכה עצמית. המבקש ושניים נוספים קשרו קשר להקמת מעבדה לגידול סמים, ואחר חתם בסיוע המבקש על חוזה לשכירת "האנגר" בן שתי קומות. מיום 2.2.16 עד יום 29.12.16 הקימו אחרים בהאנגר, בסיועו של המבקש, מעבדה לגידול סם מסוג קנאביס. ביום 29.12.16 נתפסו במקום 1,494 שתילי סם וסם בתפזורת מסוג קנאביס במשקל כולל 17.4 ק"ג. בית משפט השלום קבע את מתחם העונש בין 18-6 חודשי מאסר בפועל, וגזר על המבקש שנת מאסר בפועל. בית המשפט המחוזי דחה את ערעור המבקש, קיבל את ערעור המשיבה, והעמיד את עונשו של המבקש על 18 חודשי מאסר בפועל, תוך שקבע, בין השאר, כי נוסף על כמות הסם שנתפסה, </w:t>
      </w:r>
      <w:r w:rsidRPr="00981BF8">
        <w:rPr>
          <w:rFonts w:ascii="FrankRuehl" w:eastAsia="Calibri" w:hAnsi="FrankRuehl" w:cs="Miriam"/>
          <w:b/>
          <w:sz w:val="28"/>
          <w:rtl/>
        </w:rPr>
        <w:t>"ראוי היה להביא בחשבון גם את גודל המעבדה וכמות שתילי הסם שנמצאו, אשר בגינם הופך המקרה דנן ל"בעל חומרה יוצאת דופן""</w:t>
      </w:r>
      <w:r w:rsidRPr="008228C8">
        <w:rPr>
          <w:rFonts w:ascii="FrankRuehl" w:eastAsia="Calibri" w:hAnsi="FrankRuehl" w:cs="FrankRuehl"/>
          <w:sz w:val="28"/>
          <w:szCs w:val="28"/>
          <w:rtl/>
        </w:rPr>
        <w:t>. הבקשה לרשות ערעור נדחתה.</w:t>
      </w:r>
    </w:p>
    <w:p w:rsidR="008228C8" w:rsidRPr="008228C8" w:rsidRDefault="008228C8" w:rsidP="008228C8">
      <w:pPr>
        <w:spacing w:line="360" w:lineRule="auto"/>
        <w:ind w:firstLine="720"/>
        <w:jc w:val="both"/>
        <w:rPr>
          <w:rFonts w:ascii="FrankRuehl" w:eastAsia="Calibri" w:hAnsi="FrankRuehl" w:cs="FrankRuehl"/>
          <w:sz w:val="28"/>
          <w:szCs w:val="28"/>
          <w:rtl/>
        </w:rPr>
      </w:pPr>
    </w:p>
    <w:p w:rsidR="008228C8" w:rsidRPr="008228C8" w:rsidRDefault="008228C8" w:rsidP="008228C8">
      <w:pPr>
        <w:spacing w:line="360" w:lineRule="auto"/>
        <w:ind w:firstLine="720"/>
        <w:jc w:val="both"/>
        <w:rPr>
          <w:rFonts w:ascii="FrankRuehl" w:eastAsia="Calibri" w:hAnsi="FrankRuehl" w:cs="FrankRuehl"/>
          <w:sz w:val="28"/>
          <w:szCs w:val="28"/>
          <w:rtl/>
        </w:rPr>
      </w:pPr>
      <w:r w:rsidRPr="008228C8">
        <w:rPr>
          <w:rFonts w:ascii="FrankRuehl" w:eastAsia="Calibri" w:hAnsi="FrankRuehl" w:cs="FrankRuehl"/>
          <w:sz w:val="28"/>
          <w:szCs w:val="28"/>
          <w:rtl/>
        </w:rPr>
        <w:t xml:space="preserve">רע"פ 1787/15 </w:t>
      </w:r>
      <w:r w:rsidRPr="008228C8">
        <w:rPr>
          <w:rFonts w:ascii="FrankRuehl" w:eastAsia="Calibri" w:hAnsi="FrankRuehl" w:cs="Miriam"/>
          <w:sz w:val="28"/>
          <w:rtl/>
        </w:rPr>
        <w:t>אדי עמר נ' מדינת ישראל</w:t>
      </w:r>
      <w:r w:rsidRPr="008228C8">
        <w:rPr>
          <w:rFonts w:ascii="FrankRuehl" w:eastAsia="Calibri" w:hAnsi="FrankRuehl" w:cs="FrankRuehl"/>
          <w:sz w:val="28"/>
          <w:szCs w:val="28"/>
          <w:rtl/>
        </w:rPr>
        <w:t xml:space="preserve"> (24.3.15). המבקש הורשע בהתאם להודאתו בגידול סמים, החזקת סמים שלא לצריכה עצמית והחזקת כלים להכנת סם שלא לצריכה עצמית, לאחר שבחיפוש בבית מגוריו נמצאו 9 שתילי סם מסוג קנאביס במשקל כ-4.4 ק"ג, ובנוסף נתפסו כלים לייצור הסמים וסכומי כסף נכבדים. בית משפט השלום גזר את עונשו ל-8 חודשי מאסר בפועל ועונשים נלווים. ערעורו לבית המשפט המחוזי נדחה, וכך גם הבקשה לרשות ערעור.</w:t>
      </w:r>
    </w:p>
    <w:p w:rsidR="008228C8" w:rsidRDefault="008228C8" w:rsidP="008228C8">
      <w:pPr>
        <w:spacing w:line="360" w:lineRule="auto"/>
        <w:jc w:val="both"/>
        <w:rPr>
          <w:rFonts w:ascii="FrankRuehl" w:eastAsia="Calibri" w:hAnsi="FrankRuehl" w:cs="FrankRuehl"/>
          <w:sz w:val="28"/>
          <w:szCs w:val="28"/>
          <w:rtl/>
        </w:rPr>
      </w:pPr>
    </w:p>
    <w:p w:rsidR="006955FA" w:rsidRPr="00981BF8" w:rsidRDefault="005E2117" w:rsidP="005E2117">
      <w:pPr>
        <w:spacing w:line="360" w:lineRule="auto"/>
        <w:jc w:val="both"/>
        <w:rPr>
          <w:rFonts w:ascii="FrankRuehl" w:eastAsia="Calibri" w:hAnsi="FrankRuehl" w:cs="Miriam"/>
          <w:b/>
          <w:sz w:val="28"/>
          <w:rtl/>
        </w:rPr>
      </w:pPr>
      <w:r w:rsidRPr="00981BF8">
        <w:rPr>
          <w:rFonts w:ascii="FrankRuehl" w:eastAsia="Calibri" w:hAnsi="FrankRuehl" w:cs="Miriam" w:hint="cs"/>
          <w:b/>
          <w:sz w:val="28"/>
          <w:rtl/>
        </w:rPr>
        <w:lastRenderedPageBreak/>
        <w:t>עסקאות אחרות בשתילי קנאביס</w:t>
      </w:r>
      <w:r w:rsidR="006955FA" w:rsidRPr="00981BF8">
        <w:rPr>
          <w:rFonts w:ascii="FrankRuehl" w:eastAsia="Calibri" w:hAnsi="FrankRuehl" w:cs="Miriam" w:hint="cs"/>
          <w:b/>
          <w:sz w:val="28"/>
          <w:rtl/>
        </w:rPr>
        <w:t xml:space="preserve"> </w:t>
      </w:r>
      <w:r w:rsidR="006955FA" w:rsidRPr="00981BF8">
        <w:rPr>
          <w:rFonts w:ascii="FrankRuehl" w:eastAsia="Calibri" w:hAnsi="FrankRuehl" w:cs="Miriam"/>
          <w:b/>
          <w:sz w:val="28"/>
          <w:rtl/>
        </w:rPr>
        <w:t>–</w:t>
      </w:r>
      <w:r w:rsidR="006955FA" w:rsidRPr="00981BF8">
        <w:rPr>
          <w:rFonts w:ascii="FrankRuehl" w:eastAsia="Calibri" w:hAnsi="FrankRuehl" w:cs="Miriam" w:hint="cs"/>
          <w:b/>
          <w:sz w:val="28"/>
          <w:rtl/>
        </w:rPr>
        <w:t xml:space="preserve"> אישום מס' 2</w:t>
      </w:r>
    </w:p>
    <w:p w:rsidR="006955FA" w:rsidRPr="00981BF8" w:rsidRDefault="006955FA" w:rsidP="008228C8">
      <w:pPr>
        <w:spacing w:line="360" w:lineRule="auto"/>
        <w:jc w:val="both"/>
        <w:rPr>
          <w:rFonts w:ascii="FrankRuehl" w:eastAsia="Calibri" w:hAnsi="FrankRuehl" w:cs="Miriam"/>
          <w:b/>
          <w:sz w:val="28"/>
          <w:rtl/>
        </w:rPr>
      </w:pPr>
    </w:p>
    <w:p w:rsidR="006955FA" w:rsidRPr="008228C8" w:rsidRDefault="006955FA" w:rsidP="001A39DD">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11.</w:t>
      </w:r>
      <w:r w:rsidRPr="008228C8">
        <w:rPr>
          <w:rFonts w:ascii="FrankRuehl" w:eastAsia="Calibri" w:hAnsi="FrankRuehl" w:cs="FrankRuehl"/>
          <w:sz w:val="28"/>
          <w:szCs w:val="28"/>
          <w:rtl/>
        </w:rPr>
        <w:tab/>
      </w:r>
      <w:r>
        <w:rPr>
          <w:rFonts w:ascii="FrankRuehl" w:eastAsia="Calibri" w:hAnsi="FrankRuehl" w:cs="FrankRuehl" w:hint="cs"/>
          <w:sz w:val="28"/>
          <w:szCs w:val="28"/>
          <w:rtl/>
        </w:rPr>
        <w:t xml:space="preserve">כאמור, </w:t>
      </w:r>
      <w:r w:rsidRPr="008228C8">
        <w:rPr>
          <w:rFonts w:ascii="FrankRuehl" w:eastAsia="Calibri" w:hAnsi="FrankRuehl" w:cs="FrankRuehl"/>
          <w:sz w:val="28"/>
          <w:szCs w:val="28"/>
          <w:rtl/>
        </w:rPr>
        <w:t xml:space="preserve">כתבי אישום העוסקים במעבדות לגידול סמים, מובחנים ונפרדים </w:t>
      </w:r>
      <w:r>
        <w:rPr>
          <w:rFonts w:ascii="FrankRuehl" w:eastAsia="Calibri" w:hAnsi="FrankRuehl" w:cs="FrankRuehl" w:hint="cs"/>
          <w:sz w:val="28"/>
          <w:szCs w:val="28"/>
          <w:rtl/>
        </w:rPr>
        <w:t>ב</w:t>
      </w:r>
      <w:r w:rsidR="001A39DD">
        <w:rPr>
          <w:rFonts w:ascii="FrankRuehl" w:eastAsia="Calibri" w:hAnsi="FrankRuehl" w:cs="FrankRuehl" w:hint="cs"/>
          <w:sz w:val="28"/>
          <w:szCs w:val="28"/>
          <w:rtl/>
        </w:rPr>
        <w:t>ד</w:t>
      </w:r>
      <w:r>
        <w:rPr>
          <w:rFonts w:ascii="FrankRuehl" w:eastAsia="Calibri" w:hAnsi="FrankRuehl" w:cs="FrankRuehl" w:hint="cs"/>
          <w:sz w:val="28"/>
          <w:szCs w:val="28"/>
          <w:rtl/>
        </w:rPr>
        <w:t xml:space="preserve">"כ מאלו </w:t>
      </w:r>
      <w:r w:rsidRPr="008228C8">
        <w:rPr>
          <w:rFonts w:ascii="FrankRuehl" w:eastAsia="Calibri" w:hAnsi="FrankRuehl" w:cs="FrankRuehl"/>
          <w:sz w:val="28"/>
          <w:szCs w:val="28"/>
          <w:rtl/>
        </w:rPr>
        <w:t>שעניינם עבירות סחר בסמים</w:t>
      </w:r>
      <w:r>
        <w:rPr>
          <w:rFonts w:ascii="FrankRuehl" w:eastAsia="Calibri" w:hAnsi="FrankRuehl" w:cs="FrankRuehl" w:hint="cs"/>
          <w:sz w:val="28"/>
          <w:szCs w:val="28"/>
          <w:rtl/>
        </w:rPr>
        <w:t>,</w:t>
      </w:r>
      <w:r w:rsidRPr="008228C8">
        <w:rPr>
          <w:rFonts w:ascii="FrankRuehl" w:eastAsia="Calibri" w:hAnsi="FrankRuehl" w:cs="FrankRuehl"/>
          <w:sz w:val="28"/>
          <w:szCs w:val="28"/>
          <w:rtl/>
        </w:rPr>
        <w:t xml:space="preserve"> </w:t>
      </w:r>
      <w:r>
        <w:rPr>
          <w:rFonts w:ascii="FrankRuehl" w:eastAsia="Calibri" w:hAnsi="FrankRuehl" w:cs="FrankRuehl" w:hint="cs"/>
          <w:sz w:val="28"/>
          <w:szCs w:val="28"/>
          <w:rtl/>
        </w:rPr>
        <w:t>ו</w:t>
      </w:r>
      <w:r w:rsidRPr="008228C8">
        <w:rPr>
          <w:rFonts w:ascii="FrankRuehl" w:eastAsia="Calibri" w:hAnsi="FrankRuehl" w:cs="FrankRuehl"/>
          <w:sz w:val="28"/>
          <w:szCs w:val="28"/>
          <w:rtl/>
        </w:rPr>
        <w:t xml:space="preserve">במובן זה, </w:t>
      </w:r>
      <w:r>
        <w:rPr>
          <w:rFonts w:ascii="FrankRuehl" w:eastAsia="Calibri" w:hAnsi="FrankRuehl" w:cs="FrankRuehl" w:hint="cs"/>
          <w:sz w:val="28"/>
          <w:szCs w:val="28"/>
          <w:rtl/>
        </w:rPr>
        <w:t xml:space="preserve">כתב האישום דנן </w:t>
      </w:r>
      <w:r w:rsidRPr="008228C8">
        <w:rPr>
          <w:rFonts w:ascii="FrankRuehl" w:eastAsia="Calibri" w:hAnsi="FrankRuehl" w:cs="FrankRuehl"/>
          <w:sz w:val="28"/>
          <w:szCs w:val="28"/>
          <w:rtl/>
        </w:rPr>
        <w:t xml:space="preserve">חריג בחומרתו. </w:t>
      </w:r>
      <w:r w:rsidR="001A39DD">
        <w:rPr>
          <w:rFonts w:ascii="FrankRuehl" w:eastAsia="Calibri" w:hAnsi="FrankRuehl" w:cs="FrankRuehl" w:hint="cs"/>
          <w:sz w:val="28"/>
          <w:szCs w:val="28"/>
          <w:rtl/>
        </w:rPr>
        <w:t xml:space="preserve">למרבה הפליאה, </w:t>
      </w:r>
      <w:r w:rsidRPr="008228C8">
        <w:rPr>
          <w:rFonts w:ascii="FrankRuehl" w:eastAsia="Calibri" w:hAnsi="FrankRuehl" w:cs="FrankRuehl"/>
          <w:sz w:val="28"/>
          <w:szCs w:val="28"/>
          <w:rtl/>
        </w:rPr>
        <w:t>הצדדים לא הגישו פסקי דין בעבירות סחר בסמים,</w:t>
      </w:r>
      <w:r w:rsidR="00BF3C7B">
        <w:rPr>
          <w:rFonts w:ascii="FrankRuehl" w:eastAsia="Calibri" w:hAnsi="FrankRuehl" w:cs="FrankRuehl" w:hint="cs"/>
          <w:sz w:val="28"/>
          <w:szCs w:val="28"/>
          <w:rtl/>
        </w:rPr>
        <w:t xml:space="preserve"> הדומות במהותן ובח</w:t>
      </w:r>
      <w:r w:rsidR="00BE1AA7">
        <w:rPr>
          <w:rFonts w:ascii="FrankRuehl" w:eastAsia="Calibri" w:hAnsi="FrankRuehl" w:cs="FrankRuehl" w:hint="cs"/>
          <w:sz w:val="28"/>
          <w:szCs w:val="28"/>
          <w:rtl/>
        </w:rPr>
        <w:t>ומרתן לעבירות של עסקה אחרת בסם,</w:t>
      </w:r>
      <w:r w:rsidRPr="008228C8">
        <w:rPr>
          <w:rFonts w:ascii="FrankRuehl" w:eastAsia="Calibri" w:hAnsi="FrankRuehl" w:cs="FrankRuehl"/>
          <w:sz w:val="28"/>
          <w:szCs w:val="28"/>
          <w:rtl/>
        </w:rPr>
        <w:t xml:space="preserve"> ואת שהחסירו</w:t>
      </w:r>
      <w:r w:rsidR="00276E30">
        <w:rPr>
          <w:rFonts w:ascii="FrankRuehl" w:eastAsia="Calibri" w:hAnsi="FrankRuehl" w:cs="FrankRuehl" w:hint="cs"/>
          <w:sz w:val="28"/>
          <w:szCs w:val="28"/>
          <w:rtl/>
        </w:rPr>
        <w:t xml:space="preserve"> הצדדים</w:t>
      </w:r>
      <w:r w:rsidRPr="008228C8">
        <w:rPr>
          <w:rFonts w:ascii="FrankRuehl" w:eastAsia="Calibri" w:hAnsi="FrankRuehl" w:cs="FrankRuehl"/>
          <w:sz w:val="28"/>
          <w:szCs w:val="28"/>
          <w:rtl/>
        </w:rPr>
        <w:t xml:space="preserve"> ישלים בית המשפט.</w:t>
      </w:r>
    </w:p>
    <w:p w:rsidR="006955FA" w:rsidRPr="008228C8" w:rsidRDefault="006955FA" w:rsidP="006955FA">
      <w:pPr>
        <w:spacing w:line="360" w:lineRule="auto"/>
        <w:jc w:val="both"/>
        <w:rPr>
          <w:rFonts w:ascii="FrankRuehl" w:eastAsia="Calibri" w:hAnsi="FrankRuehl" w:cs="FrankRuehl"/>
          <w:sz w:val="28"/>
          <w:szCs w:val="28"/>
          <w:rtl/>
        </w:rPr>
      </w:pPr>
    </w:p>
    <w:p w:rsidR="006955FA" w:rsidRDefault="006955FA" w:rsidP="00276E30">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ab/>
        <w:t xml:space="preserve">בכל הנוגע לחומרתן של </w:t>
      </w:r>
      <w:r w:rsidR="00276E30">
        <w:rPr>
          <w:rFonts w:ascii="FrankRuehl" w:eastAsia="Calibri" w:hAnsi="FrankRuehl" w:cs="FrankRuehl" w:hint="cs"/>
          <w:sz w:val="28"/>
          <w:szCs w:val="28"/>
          <w:rtl/>
        </w:rPr>
        <w:t xml:space="preserve">עסקאות </w:t>
      </w:r>
      <w:r w:rsidRPr="008228C8">
        <w:rPr>
          <w:rFonts w:ascii="FrankRuehl" w:eastAsia="Calibri" w:hAnsi="FrankRuehl" w:cs="FrankRuehl"/>
          <w:sz w:val="28"/>
          <w:szCs w:val="28"/>
          <w:rtl/>
        </w:rPr>
        <w:t xml:space="preserve">בסמים "קלים", ראו בש"פ 6789/21 </w:t>
      </w:r>
      <w:r w:rsidRPr="008228C8">
        <w:rPr>
          <w:rFonts w:ascii="FrankRuehl" w:eastAsia="Calibri" w:hAnsi="FrankRuehl" w:cs="Miriam"/>
          <w:b/>
          <w:sz w:val="28"/>
          <w:rtl/>
        </w:rPr>
        <w:t xml:space="preserve">מדינת ישראל נ' שצ'רבקוב </w:t>
      </w:r>
      <w:r w:rsidRPr="008228C8">
        <w:rPr>
          <w:rFonts w:ascii="FrankRuehl" w:eastAsia="Calibri" w:hAnsi="FrankRuehl" w:cs="FrankRuehl"/>
          <w:sz w:val="28"/>
          <w:szCs w:val="28"/>
          <w:rtl/>
        </w:rPr>
        <w:t>(17.10.21, פסקה 13):</w:t>
      </w:r>
    </w:p>
    <w:p w:rsidR="00DC347D" w:rsidRDefault="00DC347D" w:rsidP="00276E30">
      <w:pPr>
        <w:spacing w:line="360" w:lineRule="auto"/>
        <w:jc w:val="both"/>
        <w:rPr>
          <w:rFonts w:ascii="FrankRuehl" w:eastAsia="Calibri" w:hAnsi="FrankRuehl" w:cs="FrankRuehl"/>
          <w:sz w:val="28"/>
          <w:szCs w:val="28"/>
          <w:rtl/>
        </w:rPr>
      </w:pPr>
    </w:p>
    <w:p w:rsidR="006955FA" w:rsidRPr="008228C8" w:rsidRDefault="006955FA" w:rsidP="006955FA">
      <w:pPr>
        <w:tabs>
          <w:tab w:val="left" w:pos="800"/>
        </w:tabs>
        <w:overflowPunct w:val="0"/>
        <w:autoSpaceDE w:val="0"/>
        <w:autoSpaceDN w:val="0"/>
        <w:adjustRightInd w:val="0"/>
        <w:ind w:left="1644" w:right="1247"/>
        <w:jc w:val="both"/>
        <w:textAlignment w:val="baseline"/>
        <w:rPr>
          <w:rFonts w:ascii="Garamond" w:hAnsi="Garamond" w:cs="FrankRuehl"/>
          <w:spacing w:val="10"/>
          <w:szCs w:val="28"/>
          <w:rtl/>
        </w:rPr>
      </w:pPr>
      <w:r w:rsidRPr="008228C8">
        <w:rPr>
          <w:rFonts w:ascii="Garamond" w:hAnsi="Garamond" w:cs="FrankRuehl"/>
          <w:spacing w:val="10"/>
          <w:szCs w:val="28"/>
          <w:rtl/>
        </w:rPr>
        <w:t xml:space="preserve">כפי שכבר צוין בפסיקת בית משפט זה, דומה כי השתרשה בעת האחרונה תפיסה שגויה, לפיה סם הקנביס הוא בגדר "סם קל", באופן המפתה גורמים שונים להפוך למעורבים בייצורו והפצתו. "ברם, סחר בסמים הוא סחר בסמים. ידע כל מי שמהרהר בדרכים לעשיית כסף קל, כי מדיניות הענישה לא השתנתה, ובית המשפט רואה בחומרה עבירות של סחר והפצה של סמים מסוכנים, גם סמים 'קלים', תוך הטלת ענישה משמעותית ומרתיעה. צרכנים ומשתמשים – ראו הוזהרתם" (ע"פ 2596/18 </w:t>
      </w:r>
      <w:r w:rsidRPr="008228C8">
        <w:rPr>
          <w:rFonts w:ascii="Century" w:hAnsi="Century" w:cs="Miriam"/>
          <w:b/>
          <w:sz w:val="22"/>
          <w:rtl/>
        </w:rPr>
        <w:t>זנזורי נ' מדינת ישראל</w:t>
      </w:r>
      <w:r w:rsidRPr="008228C8">
        <w:rPr>
          <w:rFonts w:ascii="Garamond" w:hAnsi="Garamond" w:cs="FrankRuehl"/>
          <w:spacing w:val="10"/>
          <w:szCs w:val="28"/>
          <w:rtl/>
        </w:rPr>
        <w:t xml:space="preserve"> (12.8.2021)).</w:t>
      </w:r>
    </w:p>
    <w:p w:rsidR="006955FA" w:rsidRPr="008228C8" w:rsidRDefault="006955FA" w:rsidP="006955FA">
      <w:pPr>
        <w:spacing w:line="360" w:lineRule="auto"/>
        <w:jc w:val="both"/>
        <w:rPr>
          <w:rFonts w:ascii="FrankRuehl" w:eastAsia="Calibri" w:hAnsi="FrankRuehl" w:cs="FrankRuehl"/>
          <w:sz w:val="28"/>
          <w:szCs w:val="28"/>
          <w:rtl/>
        </w:rPr>
      </w:pPr>
    </w:p>
    <w:p w:rsidR="006955FA" w:rsidRPr="008228C8" w:rsidRDefault="006955FA" w:rsidP="006955FA">
      <w:pPr>
        <w:spacing w:line="360" w:lineRule="auto"/>
        <w:jc w:val="both"/>
        <w:rPr>
          <w:rFonts w:ascii="FrankRuehl" w:hAnsi="FrankRuehl" w:cs="FrankRuehl"/>
          <w:sz w:val="28"/>
          <w:szCs w:val="28"/>
          <w:rtl/>
        </w:rPr>
      </w:pPr>
      <w:r w:rsidRPr="008228C8">
        <w:rPr>
          <w:rFonts w:ascii="FrankRuehl" w:eastAsia="Calibri" w:hAnsi="FrankRuehl" w:cs="FrankRuehl"/>
          <w:sz w:val="28"/>
          <w:szCs w:val="28"/>
          <w:rtl/>
        </w:rPr>
        <w:tab/>
        <w:t xml:space="preserve">ראו גם </w:t>
      </w:r>
      <w:r w:rsidRPr="008228C8">
        <w:rPr>
          <w:rFonts w:ascii="FrankRuehl" w:hAnsi="FrankRuehl" w:cs="FrankRuehl"/>
          <w:sz w:val="28"/>
          <w:szCs w:val="28"/>
          <w:rtl/>
        </w:rPr>
        <w:t xml:space="preserve">רע"פ 8695/19 </w:t>
      </w:r>
      <w:r w:rsidRPr="008228C8">
        <w:rPr>
          <w:rFonts w:ascii="FrankRuehl" w:hAnsi="FrankRuehl" w:cs="Miriam"/>
          <w:b/>
          <w:sz w:val="28"/>
          <w:rtl/>
        </w:rPr>
        <w:t xml:space="preserve">פסו נ' מדינת ישראל </w:t>
      </w:r>
      <w:r w:rsidRPr="008228C8">
        <w:rPr>
          <w:rFonts w:ascii="FrankRuehl" w:hAnsi="FrankRuehl" w:cs="FrankRuehl"/>
          <w:sz w:val="28"/>
          <w:szCs w:val="28"/>
          <w:rtl/>
        </w:rPr>
        <w:t xml:space="preserve">(5.1.20, להלן: </w:t>
      </w:r>
      <w:r w:rsidRPr="008228C8">
        <w:rPr>
          <w:rFonts w:ascii="FrankRuehl" w:hAnsi="FrankRuehl" w:cs="Miriam"/>
          <w:b/>
          <w:sz w:val="28"/>
          <w:rtl/>
        </w:rPr>
        <w:t>ענין פסו</w:t>
      </w:r>
      <w:r w:rsidRPr="008228C8">
        <w:rPr>
          <w:rFonts w:ascii="FrankRuehl" w:hAnsi="FrankRuehl" w:cs="FrankRuehl"/>
          <w:sz w:val="28"/>
          <w:szCs w:val="28"/>
          <w:rtl/>
        </w:rPr>
        <w:t xml:space="preserve">): </w:t>
      </w:r>
      <w:r w:rsidRPr="008228C8">
        <w:rPr>
          <w:rFonts w:ascii="FrankRuehl" w:hAnsi="FrankRuehl" w:cs="FrankRuehl"/>
          <w:b/>
          <w:sz w:val="28"/>
          <w:szCs w:val="28"/>
          <w:rtl/>
        </w:rPr>
        <w:t>"בית משפט זה שב והדגיש כי על מדיניות הענישה בגין סחר והפצה של סמים מסוכנים, ובכללן סמים הנחשבים כ"סמים קלים", להיות מרתיעה ומשמעותית, וכי יש לראות בחומרה ניסיונות לעשיית רווח כספי באמצעות סחר בסמים אלה"</w:t>
      </w:r>
      <w:r w:rsidRPr="008228C8">
        <w:rPr>
          <w:rFonts w:ascii="FrankRuehl" w:hAnsi="FrankRuehl" w:cs="FrankRuehl"/>
          <w:sz w:val="28"/>
          <w:szCs w:val="28"/>
          <w:rtl/>
        </w:rPr>
        <w:t>.</w:t>
      </w:r>
    </w:p>
    <w:p w:rsidR="006955FA" w:rsidRPr="008228C8" w:rsidRDefault="006955FA" w:rsidP="006955FA">
      <w:pPr>
        <w:spacing w:line="360" w:lineRule="auto"/>
        <w:jc w:val="both"/>
        <w:rPr>
          <w:rFonts w:ascii="FrankRuehl" w:hAnsi="FrankRuehl" w:cs="FrankRuehl"/>
          <w:sz w:val="28"/>
          <w:szCs w:val="28"/>
          <w:rtl/>
        </w:rPr>
      </w:pPr>
    </w:p>
    <w:p w:rsidR="006955FA" w:rsidRPr="008228C8" w:rsidRDefault="006955FA" w:rsidP="00276E30">
      <w:pPr>
        <w:spacing w:line="360" w:lineRule="auto"/>
        <w:jc w:val="both"/>
        <w:rPr>
          <w:rFonts w:ascii="FrankRuehl" w:hAnsi="FrankRuehl" w:cs="FrankRuehl"/>
          <w:sz w:val="28"/>
          <w:szCs w:val="28"/>
          <w:rtl/>
        </w:rPr>
      </w:pPr>
      <w:r w:rsidRPr="008228C8">
        <w:rPr>
          <w:rFonts w:ascii="FrankRuehl" w:hAnsi="FrankRuehl" w:cs="FrankRuehl"/>
          <w:sz w:val="28"/>
          <w:szCs w:val="28"/>
          <w:rtl/>
        </w:rPr>
        <w:t>1</w:t>
      </w:r>
      <w:r w:rsidR="00276E30">
        <w:rPr>
          <w:rFonts w:ascii="FrankRuehl" w:hAnsi="FrankRuehl" w:cs="FrankRuehl" w:hint="cs"/>
          <w:sz w:val="28"/>
          <w:szCs w:val="28"/>
          <w:rtl/>
        </w:rPr>
        <w:t>2</w:t>
      </w:r>
      <w:r w:rsidR="00BD03FF">
        <w:rPr>
          <w:rFonts w:ascii="FrankRuehl" w:hAnsi="FrankRuehl" w:cs="FrankRuehl"/>
          <w:sz w:val="28"/>
          <w:szCs w:val="28"/>
          <w:rtl/>
        </w:rPr>
        <w:t>.</w:t>
      </w:r>
      <w:r w:rsidR="00BD03FF">
        <w:rPr>
          <w:rFonts w:ascii="FrankRuehl" w:hAnsi="FrankRuehl" w:cs="FrankRuehl"/>
          <w:sz w:val="28"/>
          <w:szCs w:val="28"/>
          <w:rtl/>
        </w:rPr>
        <w:tab/>
        <w:t>ל</w:t>
      </w:r>
      <w:r w:rsidRPr="008228C8">
        <w:rPr>
          <w:rFonts w:ascii="FrankRuehl" w:hAnsi="FrankRuehl" w:cs="FrankRuehl"/>
          <w:sz w:val="28"/>
          <w:szCs w:val="28"/>
          <w:rtl/>
        </w:rPr>
        <w:t>מדיניות הענישה בעבירות סחר בקנאביס, ראו פסקי הדין שלהלן:</w:t>
      </w:r>
    </w:p>
    <w:p w:rsidR="006955FA" w:rsidRPr="008228C8" w:rsidRDefault="006955FA" w:rsidP="006955FA">
      <w:pPr>
        <w:spacing w:line="360" w:lineRule="auto"/>
        <w:jc w:val="both"/>
        <w:rPr>
          <w:rFonts w:ascii="FrankRuehl" w:hAnsi="FrankRuehl" w:cs="FrankRuehl"/>
          <w:sz w:val="28"/>
          <w:szCs w:val="28"/>
          <w:rtl/>
        </w:rPr>
      </w:pPr>
    </w:p>
    <w:p w:rsidR="006955FA" w:rsidRPr="008228C8" w:rsidRDefault="006955FA" w:rsidP="006955FA">
      <w:pPr>
        <w:spacing w:line="360" w:lineRule="auto"/>
        <w:jc w:val="both"/>
        <w:rPr>
          <w:rFonts w:ascii="FrankRuehl" w:hAnsi="FrankRuehl" w:cs="FrankRuehl"/>
          <w:sz w:val="28"/>
          <w:szCs w:val="28"/>
          <w:rtl/>
        </w:rPr>
      </w:pPr>
      <w:r w:rsidRPr="008228C8">
        <w:rPr>
          <w:rFonts w:ascii="FrankRuehl" w:hAnsi="FrankRuehl" w:cs="FrankRuehl"/>
          <w:sz w:val="28"/>
          <w:szCs w:val="28"/>
          <w:rtl/>
        </w:rPr>
        <w:tab/>
        <w:t xml:space="preserve">רע"פ 2302/22 </w:t>
      </w:r>
      <w:r w:rsidRPr="008228C8">
        <w:rPr>
          <w:rFonts w:ascii="FrankRuehl" w:hAnsi="FrankRuehl" w:cs="Miriam"/>
          <w:b/>
          <w:sz w:val="28"/>
          <w:rtl/>
        </w:rPr>
        <w:t>חסיד נ' מדינת ישראל</w:t>
      </w:r>
      <w:r w:rsidRPr="008228C8">
        <w:rPr>
          <w:rFonts w:ascii="FrankRuehl" w:hAnsi="FrankRuehl" w:cs="FrankRuehl"/>
          <w:sz w:val="28"/>
          <w:szCs w:val="28"/>
          <w:rtl/>
        </w:rPr>
        <w:t xml:space="preserve"> (6.4.22). החזקת 140 גרם קנאביס, ו-15 אישומים בגין מכירת קנאביס ל-15 לקוחות לרבות קטינה אחת, במסגרת למעלה מ-50 עסקאות במשך יותר משנה ומחצה. בית משפט השלום איזן בין המלצות שירות המבחן, ההליך הטיפולי הראשוני שעבר המבקש וחומרת מעשיו. נקבעו ארבעה מתחמי ענישה, ועונשו של המבקש נגזר בשליש התחתון ל-24 חודשי מאסר בפועל ועונשים נלווים. ערעורו נדחה, וכך גם בקשתו לרשות ערעור.</w:t>
      </w:r>
    </w:p>
    <w:p w:rsidR="006955FA" w:rsidRPr="008228C8" w:rsidRDefault="006955FA" w:rsidP="006955FA">
      <w:pPr>
        <w:spacing w:line="360" w:lineRule="auto"/>
        <w:jc w:val="both"/>
        <w:rPr>
          <w:rFonts w:ascii="FrankRuehl" w:hAnsi="FrankRuehl" w:cs="FrankRuehl"/>
          <w:sz w:val="28"/>
          <w:szCs w:val="28"/>
          <w:rtl/>
        </w:rPr>
      </w:pPr>
    </w:p>
    <w:p w:rsidR="006955FA" w:rsidRPr="008228C8" w:rsidRDefault="006955FA" w:rsidP="006955FA">
      <w:pPr>
        <w:spacing w:line="360" w:lineRule="auto"/>
        <w:jc w:val="both"/>
        <w:rPr>
          <w:rFonts w:ascii="FrankRuehl" w:hAnsi="FrankRuehl" w:cs="FrankRuehl"/>
          <w:sz w:val="28"/>
          <w:szCs w:val="28"/>
          <w:rtl/>
        </w:rPr>
      </w:pPr>
      <w:r w:rsidRPr="008228C8">
        <w:rPr>
          <w:rFonts w:ascii="FrankRuehl" w:hAnsi="FrankRuehl" w:cs="FrankRuehl"/>
          <w:sz w:val="28"/>
          <w:szCs w:val="28"/>
          <w:rtl/>
        </w:rPr>
        <w:lastRenderedPageBreak/>
        <w:tab/>
      </w:r>
      <w:r w:rsidRPr="008228C8">
        <w:rPr>
          <w:rFonts w:ascii="FrankRuehl" w:hAnsi="FrankRuehl" w:cs="Miriam"/>
          <w:b/>
          <w:sz w:val="28"/>
          <w:rtl/>
        </w:rPr>
        <w:t>ענין פסו</w:t>
      </w:r>
      <w:r w:rsidRPr="008228C8">
        <w:rPr>
          <w:rFonts w:ascii="FrankRuehl" w:hAnsi="FrankRuehl" w:cs="FrankRuehl"/>
          <w:sz w:val="28"/>
          <w:szCs w:val="28"/>
          <w:rtl/>
        </w:rPr>
        <w:t xml:space="preserve"> (לעיל). 29 עבירות סחר בקנאביס ל-29 רוכשים שונים, במשקל שנע בין 10-1 גרם לעסקה. סה"כ 53 מכירות, 178 גרם, תמורת 16,450 ₪. כן נתפס המבקש מחזיק 5 גרם קנאביס ומשקל דיגיטלי. בית משפט השלום קבע מתחם כולל בין 36-12 חודשי מאסר בפועל, וגזר על המבקש 18 חודשי מאסר בפועל ועונשים נלווים. בית המשפט המחוזי קיבל את ערעור המדינה. נקבע כי המתחם הראוי למכירה בודדת של 10-1 גרם קנאביס הוא בין מספר חודשי מאסר ל-10 חודשים בפועל. משכך, מבלי למצות את הדין עם המבקש ובהתחשב בתקופה הממושכת בה היה נתון במעצר בפיקוח אלקטרוני, הועמד עונשו על 28 חודשי מאסר בפועל. בקשת רשות ערעור שהגיש המבקש נדחתה.</w:t>
      </w:r>
    </w:p>
    <w:p w:rsidR="006955FA" w:rsidRPr="008228C8" w:rsidRDefault="006955FA" w:rsidP="006955FA">
      <w:pPr>
        <w:spacing w:line="360" w:lineRule="auto"/>
        <w:jc w:val="both"/>
        <w:rPr>
          <w:rFonts w:ascii="FrankRuehl" w:hAnsi="FrankRuehl" w:cs="FrankRuehl"/>
          <w:sz w:val="28"/>
          <w:szCs w:val="28"/>
          <w:rtl/>
        </w:rPr>
      </w:pPr>
    </w:p>
    <w:p w:rsidR="006955FA" w:rsidRPr="008228C8" w:rsidRDefault="006955FA" w:rsidP="006955FA">
      <w:pPr>
        <w:spacing w:line="360" w:lineRule="auto"/>
        <w:jc w:val="both"/>
        <w:rPr>
          <w:rFonts w:ascii="Garamond" w:hAnsi="Garamond" w:cs="FrankRuehl"/>
          <w:spacing w:val="10"/>
          <w:szCs w:val="28"/>
          <w:rtl/>
        </w:rPr>
      </w:pPr>
      <w:r w:rsidRPr="008228C8">
        <w:rPr>
          <w:rFonts w:ascii="FrankRuehl" w:hAnsi="FrankRuehl" w:cs="FrankRuehl"/>
          <w:sz w:val="28"/>
          <w:szCs w:val="28"/>
          <w:rtl/>
        </w:rPr>
        <w:tab/>
        <w:t xml:space="preserve">רע"פ 7088/20 </w:t>
      </w:r>
      <w:r w:rsidRPr="008228C8">
        <w:rPr>
          <w:rFonts w:ascii="FrankRuehl" w:hAnsi="FrankRuehl" w:cs="Miriam"/>
          <w:b/>
          <w:sz w:val="28"/>
          <w:rtl/>
        </w:rPr>
        <w:t xml:space="preserve">יואש זוהר נ' מדינת ישראל </w:t>
      </w:r>
      <w:r w:rsidRPr="008228C8">
        <w:rPr>
          <w:rFonts w:ascii="FrankRuehl" w:hAnsi="FrankRuehl" w:cs="FrankRuehl"/>
          <w:sz w:val="28"/>
          <w:szCs w:val="28"/>
          <w:rtl/>
        </w:rPr>
        <w:t xml:space="preserve">(21.10.20, להלן: </w:t>
      </w:r>
      <w:r w:rsidRPr="008228C8">
        <w:rPr>
          <w:rFonts w:ascii="FrankRuehl" w:hAnsi="FrankRuehl" w:cs="Miriam"/>
          <w:b/>
          <w:sz w:val="28"/>
          <w:rtl/>
        </w:rPr>
        <w:t>ענין זוהר</w:t>
      </w:r>
      <w:r w:rsidRPr="008228C8">
        <w:rPr>
          <w:rFonts w:ascii="FrankRuehl" w:hAnsi="FrankRuehl" w:cs="FrankRuehl"/>
          <w:sz w:val="28"/>
          <w:szCs w:val="28"/>
          <w:rtl/>
        </w:rPr>
        <w:t>). 50 אישומים; החזקת סם לא לצריכה עצמית באישום יחיד וסחר בקנאביס ל-49 רוכשים ב-63 הזדמנויות (בכמויות של בין 10-1 ברם לעסקה); סה"כ 193 גרם תמורת 15,800 ₪. בית משפט השלום קבע מתחם בין מספר חודשי מאסר בפועל ל-10 חודשים בגין כל אישום, ומתחם בין 14-8 חודשי מאסר בפועל בגין מכירת סם לקטין. נקבע כי לנוכח תסקיר המבחן ופוטנציאל שיקומי גבוה, יש להעדיף את שיקולי השיקום. המבקש נדון ל-9 חודשי מאסר בעבודות שירות, צו מבחן ועונשים נלווים. בית המשפט המחוזי קבע כי לא היה מקום לסטות מהמתחם משיקולי שיקום עד כדי גזירת עונש מאסר בעבודות שירות. עם זאת, בהינתן שערכאת הערעור אינה נוהגת למצות את הדין, הועמד המאסר בפועל על 18 חודשים. הבקשה לרשות ערעור נדחתה.</w:t>
      </w:r>
    </w:p>
    <w:p w:rsidR="006955FA" w:rsidRPr="008228C8" w:rsidRDefault="006955FA" w:rsidP="006955FA">
      <w:pPr>
        <w:spacing w:line="360" w:lineRule="auto"/>
        <w:jc w:val="both"/>
        <w:rPr>
          <w:rFonts w:ascii="FrankRuehl" w:hAnsi="FrankRuehl" w:cs="FrankRuehl"/>
          <w:sz w:val="28"/>
          <w:szCs w:val="28"/>
          <w:rtl/>
        </w:rPr>
      </w:pPr>
    </w:p>
    <w:p w:rsidR="00421D80" w:rsidRPr="00981BF8" w:rsidRDefault="00A23586" w:rsidP="005E2117">
      <w:pPr>
        <w:spacing w:line="360" w:lineRule="auto"/>
        <w:jc w:val="both"/>
        <w:rPr>
          <w:rFonts w:ascii="FrankRuehl" w:eastAsia="Calibri" w:hAnsi="FrankRuehl" w:cs="Miriam"/>
          <w:b/>
          <w:sz w:val="28"/>
          <w:rtl/>
        </w:rPr>
      </w:pPr>
      <w:r w:rsidRPr="00981BF8">
        <w:rPr>
          <w:rFonts w:ascii="FrankRuehl" w:eastAsia="Calibri" w:hAnsi="FrankRuehl" w:cs="Miriam" w:hint="cs"/>
          <w:b/>
          <w:sz w:val="28"/>
          <w:rtl/>
        </w:rPr>
        <w:t xml:space="preserve">קביעת </w:t>
      </w:r>
      <w:r w:rsidR="004C67FC" w:rsidRPr="00981BF8">
        <w:rPr>
          <w:rFonts w:ascii="FrankRuehl" w:eastAsia="Calibri" w:hAnsi="FrankRuehl" w:cs="Miriam" w:hint="cs"/>
          <w:b/>
          <w:sz w:val="28"/>
          <w:rtl/>
        </w:rPr>
        <w:t>מתחם</w:t>
      </w:r>
      <w:r w:rsidRPr="00981BF8">
        <w:rPr>
          <w:rFonts w:ascii="FrankRuehl" w:eastAsia="Calibri" w:hAnsi="FrankRuehl" w:cs="Miriam" w:hint="cs"/>
          <w:b/>
          <w:sz w:val="28"/>
          <w:rtl/>
        </w:rPr>
        <w:t xml:space="preserve"> כולל לכל אחד מהנאשמים</w:t>
      </w:r>
      <w:r w:rsidR="004C67FC" w:rsidRPr="00981BF8">
        <w:rPr>
          <w:rFonts w:ascii="FrankRuehl" w:eastAsia="Calibri" w:hAnsi="FrankRuehl" w:cs="Miriam" w:hint="cs"/>
          <w:b/>
          <w:sz w:val="28"/>
          <w:rtl/>
        </w:rPr>
        <w:t xml:space="preserve"> </w:t>
      </w:r>
      <w:r w:rsidR="004C67FC" w:rsidRPr="00981BF8">
        <w:rPr>
          <w:rFonts w:ascii="FrankRuehl" w:eastAsia="Calibri" w:hAnsi="FrankRuehl" w:cs="Miriam"/>
          <w:b/>
          <w:sz w:val="28"/>
          <w:rtl/>
        </w:rPr>
        <w:t>–</w:t>
      </w:r>
      <w:r w:rsidR="004C67FC" w:rsidRPr="00981BF8">
        <w:rPr>
          <w:rFonts w:ascii="FrankRuehl" w:eastAsia="Calibri" w:hAnsi="FrankRuehl" w:cs="Miriam" w:hint="cs"/>
          <w:b/>
          <w:sz w:val="28"/>
          <w:rtl/>
        </w:rPr>
        <w:t xml:space="preserve"> </w:t>
      </w:r>
      <w:r w:rsidR="005E2117" w:rsidRPr="00981BF8">
        <w:rPr>
          <w:rFonts w:ascii="FrankRuehl" w:eastAsia="Calibri" w:hAnsi="FrankRuehl" w:cs="Miriam" w:hint="cs"/>
          <w:b/>
          <w:sz w:val="28"/>
          <w:rtl/>
        </w:rPr>
        <w:t>גידול</w:t>
      </w:r>
      <w:r w:rsidR="004C67FC" w:rsidRPr="00981BF8">
        <w:rPr>
          <w:rFonts w:ascii="FrankRuehl" w:eastAsia="Calibri" w:hAnsi="FrankRuehl" w:cs="Miriam" w:hint="cs"/>
          <w:b/>
          <w:sz w:val="28"/>
          <w:rtl/>
        </w:rPr>
        <w:t xml:space="preserve"> + עסקאות אחרות</w:t>
      </w:r>
    </w:p>
    <w:p w:rsidR="004C67FC" w:rsidRPr="008228C8" w:rsidRDefault="004C67FC" w:rsidP="008228C8">
      <w:pPr>
        <w:spacing w:line="360" w:lineRule="auto"/>
        <w:jc w:val="both"/>
        <w:rPr>
          <w:rFonts w:ascii="FrankRuehl" w:eastAsia="Calibri" w:hAnsi="FrankRuehl" w:cs="FrankRuehl"/>
          <w:sz w:val="28"/>
          <w:szCs w:val="28"/>
          <w:rtl/>
        </w:rPr>
      </w:pPr>
    </w:p>
    <w:p w:rsidR="00594073" w:rsidRDefault="008228C8" w:rsidP="006D39F7">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1</w:t>
      </w:r>
      <w:r w:rsidR="006D39F7">
        <w:rPr>
          <w:rFonts w:ascii="FrankRuehl" w:eastAsia="Calibri" w:hAnsi="FrankRuehl" w:cs="FrankRuehl" w:hint="cs"/>
          <w:sz w:val="28"/>
          <w:szCs w:val="28"/>
          <w:rtl/>
        </w:rPr>
        <w:t>3</w:t>
      </w:r>
      <w:r w:rsidRPr="008228C8">
        <w:rPr>
          <w:rFonts w:ascii="FrankRuehl" w:eastAsia="Calibri" w:hAnsi="FrankRuehl" w:cs="FrankRuehl"/>
          <w:sz w:val="28"/>
          <w:szCs w:val="28"/>
          <w:rtl/>
        </w:rPr>
        <w:t>.</w:t>
      </w:r>
      <w:r w:rsidRPr="008228C8">
        <w:rPr>
          <w:rFonts w:ascii="FrankRuehl" w:eastAsia="Calibri" w:hAnsi="FrankRuehl" w:cs="FrankRuehl"/>
          <w:sz w:val="28"/>
          <w:szCs w:val="28"/>
          <w:rtl/>
        </w:rPr>
        <w:tab/>
        <w:t xml:space="preserve">בבחינת שיקולי הענישה לצורך קביעת המתחם, נצטברו להם מספר מרכיבים העומדים לחובתם של הנאשמים: </w:t>
      </w:r>
    </w:p>
    <w:p w:rsidR="00594073" w:rsidRDefault="00594073" w:rsidP="006D39F7">
      <w:pPr>
        <w:spacing w:line="360" w:lineRule="auto"/>
        <w:jc w:val="both"/>
        <w:rPr>
          <w:rFonts w:ascii="FrankRuehl" w:eastAsia="Calibri" w:hAnsi="FrankRuehl" w:cs="FrankRuehl"/>
          <w:sz w:val="28"/>
          <w:szCs w:val="28"/>
          <w:rtl/>
        </w:rPr>
      </w:pPr>
    </w:p>
    <w:p w:rsidR="00594073" w:rsidRDefault="008228C8" w:rsidP="00594073">
      <w:pPr>
        <w:spacing w:line="360" w:lineRule="auto"/>
        <w:ind w:firstLine="720"/>
        <w:jc w:val="both"/>
        <w:rPr>
          <w:rFonts w:ascii="FrankRuehl" w:eastAsia="Calibri" w:hAnsi="FrankRuehl" w:cs="Miriam"/>
          <w:b/>
          <w:sz w:val="28"/>
          <w:rtl/>
        </w:rPr>
      </w:pPr>
      <w:r w:rsidRPr="008228C8">
        <w:rPr>
          <w:rFonts w:ascii="FrankRuehl" w:eastAsia="Calibri" w:hAnsi="FrankRuehl" w:cs="Miriam"/>
          <w:b/>
          <w:sz w:val="28"/>
          <w:rtl/>
        </w:rPr>
        <w:t>(א)</w:t>
      </w:r>
      <w:r w:rsidRPr="008228C8">
        <w:rPr>
          <w:rFonts w:ascii="FrankRuehl" w:eastAsia="Calibri" w:hAnsi="FrankRuehl" w:cs="FrankRuehl"/>
          <w:sz w:val="28"/>
          <w:szCs w:val="28"/>
          <w:rtl/>
        </w:rPr>
        <w:t xml:space="preserve"> השניים הקימו בצוותא מעבדה, במבנה שנשכר למטרה זו וזה ייעודו העיקרי. אמנם, הנאשם 1 התגורר במקום, אך אין בכך להקהות מהמטרה לשמה נשכר הבית. ואם תועלה טענה לפיה הדבר לא נרשם "ברחל בתך הקטנה" בכתב האישום, ממילא כמות השתילים העצומה שנתפסה, היא שמלמדת זאת. ואם גם בכך לא די, הרי שהנאשם 1 אישר זאת בדבריו לקצינת ה</w:t>
      </w:r>
      <w:r w:rsidR="00594073">
        <w:rPr>
          <w:rFonts w:ascii="FrankRuehl" w:eastAsia="Calibri" w:hAnsi="FrankRuehl" w:cs="FrankRuehl"/>
          <w:sz w:val="28"/>
          <w:szCs w:val="28"/>
          <w:rtl/>
        </w:rPr>
        <w:t>מבחן (תסקיר מיום 9.7.23 בעמ' 3)</w:t>
      </w:r>
      <w:r w:rsidR="00594073">
        <w:rPr>
          <w:rFonts w:ascii="FrankRuehl" w:eastAsia="Calibri" w:hAnsi="FrankRuehl" w:cs="FrankRuehl" w:hint="cs"/>
          <w:sz w:val="28"/>
          <w:szCs w:val="28"/>
          <w:rtl/>
        </w:rPr>
        <w:t>.</w:t>
      </w:r>
      <w:r w:rsidRPr="008228C8">
        <w:rPr>
          <w:rFonts w:ascii="FrankRuehl" w:eastAsia="Calibri" w:hAnsi="FrankRuehl" w:cs="FrankRuehl"/>
          <w:sz w:val="28"/>
          <w:szCs w:val="28"/>
          <w:rtl/>
        </w:rPr>
        <w:t xml:space="preserve"> </w:t>
      </w:r>
    </w:p>
    <w:p w:rsidR="00594073" w:rsidRDefault="00594073" w:rsidP="00594073">
      <w:pPr>
        <w:spacing w:line="360" w:lineRule="auto"/>
        <w:ind w:firstLine="720"/>
        <w:jc w:val="both"/>
        <w:rPr>
          <w:rFonts w:ascii="FrankRuehl" w:eastAsia="Calibri" w:hAnsi="FrankRuehl" w:cs="Miriam"/>
          <w:b/>
          <w:sz w:val="28"/>
          <w:rtl/>
        </w:rPr>
      </w:pPr>
    </w:p>
    <w:p w:rsidR="00594073" w:rsidRDefault="008228C8" w:rsidP="00594073">
      <w:pPr>
        <w:spacing w:line="360" w:lineRule="auto"/>
        <w:ind w:firstLine="720"/>
        <w:jc w:val="both"/>
        <w:rPr>
          <w:rFonts w:ascii="FrankRuehl" w:eastAsia="Calibri" w:hAnsi="FrankRuehl" w:cs="FrankRuehl"/>
          <w:sz w:val="28"/>
          <w:szCs w:val="28"/>
          <w:rtl/>
        </w:rPr>
      </w:pPr>
      <w:r w:rsidRPr="008228C8">
        <w:rPr>
          <w:rFonts w:ascii="FrankRuehl" w:eastAsia="Calibri" w:hAnsi="FrankRuehl" w:cs="Miriam"/>
          <w:b/>
          <w:sz w:val="28"/>
          <w:rtl/>
        </w:rPr>
        <w:lastRenderedPageBreak/>
        <w:t>(ב)</w:t>
      </w:r>
      <w:r w:rsidRPr="008228C8">
        <w:rPr>
          <w:rFonts w:ascii="FrankRuehl" w:eastAsia="Calibri" w:hAnsi="FrankRuehl" w:cs="FrankRuehl"/>
          <w:sz w:val="28"/>
          <w:szCs w:val="28"/>
          <w:rtl/>
        </w:rPr>
        <w:t xml:space="preserve"> נתפסו שתילים בכמות עצומה (10,075). משקלם הכולל (8.46 ק"ג) מלמד אמנם כי השתילים היו זעירים, אך כאמור לעיל, על בית המשפט לתת דעתו הן למשקל השתילים והן לכמותם, תוך בחינת פוטנציא</w:t>
      </w:r>
      <w:r w:rsidR="00594073">
        <w:rPr>
          <w:rFonts w:ascii="FrankRuehl" w:eastAsia="Calibri" w:hAnsi="FrankRuehl" w:cs="FrankRuehl"/>
          <w:sz w:val="28"/>
          <w:szCs w:val="28"/>
          <w:rtl/>
        </w:rPr>
        <w:t>ל הנזק, שהוא גבוה מאוד בענייננו</w:t>
      </w:r>
      <w:r w:rsidR="00594073">
        <w:rPr>
          <w:rFonts w:ascii="FrankRuehl" w:eastAsia="Calibri" w:hAnsi="FrankRuehl" w:cs="FrankRuehl" w:hint="cs"/>
          <w:sz w:val="28"/>
          <w:szCs w:val="28"/>
          <w:rtl/>
        </w:rPr>
        <w:t>.</w:t>
      </w:r>
    </w:p>
    <w:p w:rsidR="00594073" w:rsidRDefault="00594073" w:rsidP="00594073">
      <w:pPr>
        <w:spacing w:line="360" w:lineRule="auto"/>
        <w:ind w:firstLine="720"/>
        <w:jc w:val="both"/>
        <w:rPr>
          <w:rFonts w:ascii="FrankRuehl" w:eastAsia="Calibri" w:hAnsi="FrankRuehl" w:cs="Miriam"/>
          <w:b/>
          <w:sz w:val="28"/>
          <w:rtl/>
        </w:rPr>
      </w:pPr>
    </w:p>
    <w:p w:rsidR="00462B78" w:rsidRDefault="008228C8" w:rsidP="00462B78">
      <w:pPr>
        <w:spacing w:line="360" w:lineRule="auto"/>
        <w:ind w:firstLine="720"/>
        <w:jc w:val="both"/>
        <w:rPr>
          <w:rFonts w:ascii="FrankRuehl" w:eastAsia="Calibri" w:hAnsi="FrankRuehl" w:cs="FrankRuehl"/>
          <w:sz w:val="28"/>
          <w:szCs w:val="28"/>
          <w:rtl/>
        </w:rPr>
      </w:pPr>
      <w:r w:rsidRPr="008228C8">
        <w:rPr>
          <w:rFonts w:ascii="FrankRuehl" w:eastAsia="Calibri" w:hAnsi="FrankRuehl" w:cs="Miriam"/>
          <w:b/>
          <w:sz w:val="28"/>
          <w:rtl/>
        </w:rPr>
        <w:t xml:space="preserve">(ג) </w:t>
      </w:r>
      <w:r w:rsidRPr="008228C8">
        <w:rPr>
          <w:rFonts w:ascii="FrankRuehl" w:eastAsia="Calibri" w:hAnsi="FrankRuehl" w:cs="FrankRuehl"/>
          <w:sz w:val="28"/>
          <w:szCs w:val="28"/>
          <w:rtl/>
        </w:rPr>
        <w:t>כמות הציוד שנתפסה במעבדה, אף היא רבה, ומתיישבת עם היקף הפעילות המיועד</w:t>
      </w:r>
      <w:r w:rsidR="00462B78">
        <w:rPr>
          <w:rFonts w:ascii="FrankRuehl" w:eastAsia="Calibri" w:hAnsi="FrankRuehl" w:cs="FrankRuehl" w:hint="cs"/>
          <w:sz w:val="28"/>
          <w:szCs w:val="28"/>
          <w:rtl/>
        </w:rPr>
        <w:t>.</w:t>
      </w:r>
    </w:p>
    <w:p w:rsidR="00462B78" w:rsidRDefault="00462B78" w:rsidP="00462B78">
      <w:pPr>
        <w:spacing w:line="360" w:lineRule="auto"/>
        <w:ind w:firstLine="720"/>
        <w:jc w:val="both"/>
        <w:rPr>
          <w:rFonts w:ascii="FrankRuehl" w:eastAsia="Calibri" w:hAnsi="FrankRuehl" w:cs="Miriam"/>
          <w:b/>
          <w:sz w:val="28"/>
          <w:rtl/>
        </w:rPr>
      </w:pPr>
    </w:p>
    <w:p w:rsidR="00462B78" w:rsidRDefault="008228C8" w:rsidP="00462B78">
      <w:pPr>
        <w:spacing w:line="360" w:lineRule="auto"/>
        <w:ind w:firstLine="720"/>
        <w:jc w:val="both"/>
        <w:rPr>
          <w:rFonts w:ascii="FrankRuehl" w:eastAsia="Calibri" w:hAnsi="FrankRuehl" w:cs="FrankRuehl"/>
          <w:sz w:val="28"/>
          <w:szCs w:val="28"/>
          <w:rtl/>
        </w:rPr>
      </w:pPr>
      <w:r w:rsidRPr="008228C8">
        <w:rPr>
          <w:rFonts w:ascii="FrankRuehl" w:eastAsia="Calibri" w:hAnsi="FrankRuehl" w:cs="Miriam"/>
          <w:b/>
          <w:sz w:val="28"/>
          <w:rtl/>
        </w:rPr>
        <w:t>(ד)</w:t>
      </w:r>
      <w:r w:rsidRPr="008228C8">
        <w:rPr>
          <w:rFonts w:ascii="FrankRuehl" w:eastAsia="Calibri" w:hAnsi="FrankRuehl" w:cs="FrankRuehl"/>
          <w:sz w:val="28"/>
          <w:szCs w:val="28"/>
          <w:rtl/>
        </w:rPr>
        <w:t xml:space="preserve"> המעבדה הוקמה ופעלה במשך תקופה ארוכה של כשבעה חודשים (מיום 5.10.21 עד 2.5.22), נתו</w:t>
      </w:r>
      <w:r w:rsidR="00462B78">
        <w:rPr>
          <w:rFonts w:ascii="FrankRuehl" w:eastAsia="Calibri" w:hAnsi="FrankRuehl" w:cs="FrankRuehl"/>
          <w:sz w:val="28"/>
          <w:szCs w:val="28"/>
          <w:rtl/>
        </w:rPr>
        <w:t>ן המעצים את פוטנציאל הגידול</w:t>
      </w:r>
      <w:r w:rsidR="00462B78">
        <w:rPr>
          <w:rFonts w:ascii="FrankRuehl" w:eastAsia="Calibri" w:hAnsi="FrankRuehl" w:cs="FrankRuehl" w:hint="cs"/>
          <w:sz w:val="28"/>
          <w:szCs w:val="28"/>
          <w:rtl/>
        </w:rPr>
        <w:t>.</w:t>
      </w:r>
    </w:p>
    <w:p w:rsidR="00462B78" w:rsidRDefault="00462B78" w:rsidP="00462B78">
      <w:pPr>
        <w:spacing w:line="360" w:lineRule="auto"/>
        <w:ind w:firstLine="720"/>
        <w:jc w:val="both"/>
        <w:rPr>
          <w:rFonts w:ascii="FrankRuehl" w:eastAsia="Calibri" w:hAnsi="FrankRuehl" w:cs="FrankRuehl"/>
          <w:sz w:val="28"/>
          <w:szCs w:val="28"/>
          <w:rtl/>
        </w:rPr>
      </w:pPr>
    </w:p>
    <w:p w:rsidR="00462B78" w:rsidRDefault="008228C8" w:rsidP="00462B78">
      <w:pPr>
        <w:spacing w:line="360" w:lineRule="auto"/>
        <w:ind w:firstLine="720"/>
        <w:jc w:val="both"/>
        <w:rPr>
          <w:rFonts w:ascii="FrankRuehl" w:eastAsia="Calibri" w:hAnsi="FrankRuehl" w:cs="FrankRuehl"/>
          <w:sz w:val="28"/>
          <w:szCs w:val="28"/>
          <w:rtl/>
        </w:rPr>
      </w:pPr>
      <w:r w:rsidRPr="008228C8">
        <w:rPr>
          <w:rFonts w:ascii="FrankRuehl" w:eastAsia="Calibri" w:hAnsi="FrankRuehl" w:cs="Miriam"/>
          <w:b/>
          <w:sz w:val="28"/>
          <w:rtl/>
        </w:rPr>
        <w:t xml:space="preserve">(ה) </w:t>
      </w:r>
      <w:r w:rsidRPr="008228C8">
        <w:rPr>
          <w:rFonts w:ascii="FrankRuehl" w:eastAsia="Calibri" w:hAnsi="FrankRuehl" w:cs="FrankRuehl"/>
          <w:sz w:val="28"/>
          <w:szCs w:val="28"/>
          <w:rtl/>
        </w:rPr>
        <w:t>הנאשם 2 הורשע אמנם בסיוע לעבירות באישום הראשון, אך חלקו מהותי ועומד בליבת העשייה, בלתו אין. ראשית, הנאשמים הקימו את המעבדה בצוותא. שנית, הנאשם 2 הוא שנתן הוראות לנאשם 1 כיצד לגדל את השתילים, בעוד הנאשם 1 פעל בהתאם להנחיות ותחזק בפועל את המעבדה</w:t>
      </w:r>
      <w:r w:rsidR="00462B78">
        <w:rPr>
          <w:rFonts w:ascii="FrankRuehl" w:eastAsia="Calibri" w:hAnsi="FrankRuehl" w:cs="FrankRuehl" w:hint="cs"/>
          <w:sz w:val="28"/>
          <w:szCs w:val="28"/>
          <w:rtl/>
        </w:rPr>
        <w:t>.</w:t>
      </w:r>
    </w:p>
    <w:p w:rsidR="00462B78" w:rsidRDefault="00462B78" w:rsidP="00462B78">
      <w:pPr>
        <w:spacing w:line="360" w:lineRule="auto"/>
        <w:ind w:firstLine="720"/>
        <w:jc w:val="both"/>
        <w:rPr>
          <w:rFonts w:ascii="FrankRuehl" w:eastAsia="Calibri" w:hAnsi="FrankRuehl" w:cs="FrankRuehl"/>
          <w:sz w:val="28"/>
          <w:szCs w:val="28"/>
          <w:rtl/>
        </w:rPr>
      </w:pPr>
    </w:p>
    <w:p w:rsidR="00EE6880" w:rsidRDefault="008228C8" w:rsidP="00840C35">
      <w:pPr>
        <w:spacing w:line="360" w:lineRule="auto"/>
        <w:ind w:firstLine="720"/>
        <w:jc w:val="both"/>
        <w:rPr>
          <w:rFonts w:ascii="FrankRuehl" w:eastAsia="Calibri" w:hAnsi="FrankRuehl" w:cs="FrankRuehl"/>
          <w:sz w:val="28"/>
          <w:szCs w:val="28"/>
          <w:rtl/>
        </w:rPr>
      </w:pPr>
      <w:r w:rsidRPr="008228C8">
        <w:rPr>
          <w:rFonts w:ascii="FrankRuehl" w:eastAsia="Calibri" w:hAnsi="FrankRuehl" w:cs="Miriam"/>
          <w:b/>
          <w:sz w:val="28"/>
          <w:rtl/>
        </w:rPr>
        <w:t xml:space="preserve">(ו) </w:t>
      </w:r>
      <w:r w:rsidRPr="008228C8">
        <w:rPr>
          <w:rFonts w:ascii="FrankRuehl" w:eastAsia="Calibri" w:hAnsi="FrankRuehl" w:cs="FrankRuehl"/>
          <w:sz w:val="28"/>
          <w:szCs w:val="28"/>
          <w:rtl/>
        </w:rPr>
        <w:t>האישום השני חמור בפני עצמו</w:t>
      </w:r>
      <w:r w:rsidR="009A2343">
        <w:rPr>
          <w:rFonts w:ascii="FrankRuehl" w:eastAsia="Calibri" w:hAnsi="FrankRuehl" w:cs="FrankRuehl" w:hint="cs"/>
          <w:sz w:val="28"/>
          <w:szCs w:val="28"/>
          <w:rtl/>
        </w:rPr>
        <w:t>, אף במנותק מהאישום הראשון</w:t>
      </w:r>
      <w:r w:rsidRPr="008228C8">
        <w:rPr>
          <w:rFonts w:ascii="FrankRuehl" w:eastAsia="Calibri" w:hAnsi="FrankRuehl" w:cs="FrankRuehl"/>
          <w:sz w:val="28"/>
          <w:szCs w:val="28"/>
          <w:rtl/>
        </w:rPr>
        <w:t>. בין החודשים נובמבר 2021 עד מאי 2022 ביצע הנאשם 1 ריבוי עבירות של עסקה אחרת בסם, בכך שהכין מגשים של מאות שתילים עבור אחרים, בתמורה לתשלום. באישום זה הורשע הנאשם 2 כמבצע עיקרי, אך בעבירה יחידה של עסקה אחרת. מקובלת עליי טענת ההגנה, לפיה מנוסחו של כתב האישום המתוקן, לא ניתן לקבוע מפורשות כי הנאשמים קיבלו בפ</w:t>
      </w:r>
      <w:r w:rsidR="00C86855">
        <w:rPr>
          <w:rFonts w:ascii="FrankRuehl" w:eastAsia="Calibri" w:hAnsi="FrankRuehl" w:cs="FrankRuehl"/>
          <w:sz w:val="28"/>
          <w:szCs w:val="28"/>
          <w:rtl/>
        </w:rPr>
        <w:t xml:space="preserve">ועל תמורה כספית, וכי ייתכן </w:t>
      </w:r>
      <w:r w:rsidR="00C86855">
        <w:rPr>
          <w:rFonts w:ascii="FrankRuehl" w:eastAsia="Calibri" w:hAnsi="FrankRuehl" w:cs="FrankRuehl" w:hint="cs"/>
          <w:sz w:val="28"/>
          <w:szCs w:val="28"/>
          <w:rtl/>
        </w:rPr>
        <w:t>שהכינ</w:t>
      </w:r>
      <w:r w:rsidRPr="008228C8">
        <w:rPr>
          <w:rFonts w:ascii="FrankRuehl" w:eastAsia="Calibri" w:hAnsi="FrankRuehl" w:cs="FrankRuehl"/>
          <w:sz w:val="28"/>
          <w:szCs w:val="28"/>
          <w:rtl/>
        </w:rPr>
        <w:t xml:space="preserve">ו את המגשים בתמורה לתשלום עתידי. </w:t>
      </w:r>
      <w:r w:rsidR="00C86855">
        <w:rPr>
          <w:rFonts w:ascii="FrankRuehl" w:eastAsia="Calibri" w:hAnsi="FrankRuehl" w:cs="FrankRuehl" w:hint="cs"/>
          <w:sz w:val="28"/>
          <w:szCs w:val="28"/>
          <w:rtl/>
        </w:rPr>
        <w:t>הדבר אינו מ</w:t>
      </w:r>
      <w:r w:rsidR="00C86855">
        <w:rPr>
          <w:rFonts w:ascii="FrankRuehl" w:eastAsia="Calibri" w:hAnsi="FrankRuehl" w:cs="FrankRuehl"/>
          <w:sz w:val="28"/>
          <w:szCs w:val="28"/>
          <w:rtl/>
        </w:rPr>
        <w:t xml:space="preserve">פחית מחומרת מעשיהם. אישום זה </w:t>
      </w:r>
      <w:r w:rsidR="00B31A26">
        <w:rPr>
          <w:rFonts w:ascii="FrankRuehl" w:eastAsia="Calibri" w:hAnsi="FrankRuehl" w:cs="FrankRuehl" w:hint="cs"/>
          <w:sz w:val="28"/>
          <w:szCs w:val="28"/>
          <w:rtl/>
        </w:rPr>
        <w:t>מ</w:t>
      </w:r>
      <w:r w:rsidR="00C86855">
        <w:rPr>
          <w:rFonts w:ascii="FrankRuehl" w:eastAsia="Calibri" w:hAnsi="FrankRuehl" w:cs="FrankRuehl" w:hint="cs"/>
          <w:sz w:val="28"/>
          <w:szCs w:val="28"/>
          <w:rtl/>
        </w:rPr>
        <w:t xml:space="preserve">איר את </w:t>
      </w:r>
      <w:r w:rsidRPr="008228C8">
        <w:rPr>
          <w:rFonts w:ascii="FrankRuehl" w:eastAsia="Calibri" w:hAnsi="FrankRuehl" w:cs="FrankRuehl"/>
          <w:sz w:val="28"/>
          <w:szCs w:val="28"/>
          <w:rtl/>
        </w:rPr>
        <w:t xml:space="preserve">היקפי </w:t>
      </w:r>
      <w:r w:rsidR="00C86855">
        <w:rPr>
          <w:rFonts w:ascii="FrankRuehl" w:eastAsia="Calibri" w:hAnsi="FrankRuehl" w:cs="FrankRuehl" w:hint="cs"/>
          <w:sz w:val="28"/>
          <w:szCs w:val="28"/>
          <w:rtl/>
        </w:rPr>
        <w:t xml:space="preserve">הפעילות העבריינית הסיטונית </w:t>
      </w:r>
      <w:r w:rsidR="00B61D7E">
        <w:rPr>
          <w:rFonts w:ascii="FrankRuehl" w:eastAsia="Calibri" w:hAnsi="FrankRuehl" w:cs="FrankRuehl"/>
          <w:sz w:val="28"/>
          <w:szCs w:val="28"/>
          <w:rtl/>
        </w:rPr>
        <w:t>של הנאשמים</w:t>
      </w:r>
      <w:r w:rsidR="00B61D7E">
        <w:rPr>
          <w:rFonts w:ascii="FrankRuehl" w:eastAsia="Calibri" w:hAnsi="FrankRuehl" w:cs="FrankRuehl" w:hint="cs"/>
          <w:sz w:val="28"/>
          <w:szCs w:val="28"/>
          <w:rtl/>
        </w:rPr>
        <w:t xml:space="preserve">, והאופן בו פעלה המעבדה. הנאשמים גידלו שתילי סמים בכמויות עצומות (הנאשם 1 בסיועו של הנאשם 2), ובהמשך לכך הכינו מגשים עמוסי </w:t>
      </w:r>
      <w:r w:rsidR="00EE6880">
        <w:rPr>
          <w:rFonts w:ascii="FrankRuehl" w:eastAsia="Calibri" w:hAnsi="FrankRuehl" w:cs="FrankRuehl" w:hint="cs"/>
          <w:sz w:val="28"/>
          <w:szCs w:val="28"/>
          <w:rtl/>
        </w:rPr>
        <w:t xml:space="preserve">מאות שתילים לצורך הפצתם. </w:t>
      </w:r>
      <w:r w:rsidR="00B31A26">
        <w:rPr>
          <w:rFonts w:ascii="FrankRuehl" w:eastAsia="Calibri" w:hAnsi="FrankRuehl" w:cs="FrankRuehl" w:hint="cs"/>
          <w:sz w:val="28"/>
          <w:szCs w:val="28"/>
          <w:rtl/>
        </w:rPr>
        <w:t>אין זאת אלא שהנאשמים הקימו מפעל של ממש</w:t>
      </w:r>
      <w:r w:rsidR="00220F03">
        <w:rPr>
          <w:rFonts w:ascii="FrankRuehl" w:eastAsia="Calibri" w:hAnsi="FrankRuehl" w:cs="FrankRuehl" w:hint="cs"/>
          <w:sz w:val="28"/>
          <w:szCs w:val="28"/>
          <w:rtl/>
        </w:rPr>
        <w:t>,</w:t>
      </w:r>
      <w:r w:rsidR="00B31A26">
        <w:rPr>
          <w:rFonts w:ascii="FrankRuehl" w:eastAsia="Calibri" w:hAnsi="FrankRuehl" w:cs="FrankRuehl" w:hint="cs"/>
          <w:sz w:val="28"/>
          <w:szCs w:val="28"/>
          <w:rtl/>
        </w:rPr>
        <w:t xml:space="preserve"> </w:t>
      </w:r>
      <w:r w:rsidR="00840C35">
        <w:rPr>
          <w:rFonts w:ascii="FrankRuehl" w:eastAsia="Calibri" w:hAnsi="FrankRuehl" w:cs="FrankRuehl" w:hint="cs"/>
          <w:sz w:val="28"/>
          <w:szCs w:val="28"/>
          <w:rtl/>
        </w:rPr>
        <w:t xml:space="preserve">ופעלו להפצת מרכולתם. </w:t>
      </w:r>
      <w:r w:rsidR="00EE6880">
        <w:rPr>
          <w:rFonts w:ascii="FrankRuehl" w:eastAsia="Calibri" w:hAnsi="FrankRuehl" w:cs="FrankRuehl" w:hint="cs"/>
          <w:sz w:val="28"/>
          <w:szCs w:val="28"/>
          <w:rtl/>
        </w:rPr>
        <w:t xml:space="preserve">מכאן נגזר </w:t>
      </w:r>
      <w:r w:rsidRPr="008228C8">
        <w:rPr>
          <w:rFonts w:ascii="FrankRuehl" w:eastAsia="Calibri" w:hAnsi="FrankRuehl" w:cs="FrankRuehl"/>
          <w:sz w:val="28"/>
          <w:szCs w:val="28"/>
          <w:rtl/>
        </w:rPr>
        <w:t>התפקיד ה</w:t>
      </w:r>
      <w:r w:rsidR="00EE6880">
        <w:rPr>
          <w:rFonts w:ascii="FrankRuehl" w:eastAsia="Calibri" w:hAnsi="FrankRuehl" w:cs="FrankRuehl" w:hint="cs"/>
          <w:sz w:val="28"/>
          <w:szCs w:val="28"/>
          <w:rtl/>
        </w:rPr>
        <w:t>מהותי</w:t>
      </w:r>
      <w:r w:rsidRPr="008228C8">
        <w:rPr>
          <w:rFonts w:ascii="FrankRuehl" w:eastAsia="Calibri" w:hAnsi="FrankRuehl" w:cs="FrankRuehl"/>
          <w:sz w:val="28"/>
          <w:szCs w:val="28"/>
          <w:rtl/>
        </w:rPr>
        <w:t xml:space="preserve"> שמילאו הנאשמים במעשיהם, כחוליה מרכזית בשרשרת עבירות הסחר בסמים</w:t>
      </w:r>
      <w:r w:rsidR="00EE6880">
        <w:rPr>
          <w:rFonts w:ascii="FrankRuehl" w:eastAsia="Calibri" w:hAnsi="FrankRuehl" w:cs="FrankRuehl" w:hint="cs"/>
          <w:sz w:val="28"/>
          <w:szCs w:val="28"/>
          <w:rtl/>
        </w:rPr>
        <w:t>.</w:t>
      </w:r>
    </w:p>
    <w:p w:rsidR="00EE6880" w:rsidRDefault="00EE6880" w:rsidP="00EE6880">
      <w:pPr>
        <w:spacing w:line="360" w:lineRule="auto"/>
        <w:ind w:firstLine="720"/>
        <w:jc w:val="both"/>
        <w:rPr>
          <w:rFonts w:ascii="FrankRuehl" w:eastAsia="Calibri" w:hAnsi="FrankRuehl" w:cs="FrankRuehl"/>
          <w:sz w:val="28"/>
          <w:szCs w:val="28"/>
          <w:rtl/>
        </w:rPr>
      </w:pPr>
    </w:p>
    <w:p w:rsidR="000050AF" w:rsidRDefault="008228C8" w:rsidP="0022053D">
      <w:pPr>
        <w:spacing w:line="360" w:lineRule="auto"/>
        <w:ind w:firstLine="720"/>
        <w:jc w:val="both"/>
        <w:rPr>
          <w:rFonts w:ascii="FrankRuehl" w:eastAsia="Calibri" w:hAnsi="FrankRuehl" w:cs="FrankRuehl"/>
          <w:sz w:val="28"/>
          <w:szCs w:val="28"/>
          <w:rtl/>
        </w:rPr>
      </w:pPr>
      <w:r w:rsidRPr="008228C8">
        <w:rPr>
          <w:rFonts w:ascii="FrankRuehl" w:eastAsia="Calibri" w:hAnsi="FrankRuehl" w:cs="Miriam"/>
          <w:b/>
          <w:sz w:val="28"/>
          <w:rtl/>
        </w:rPr>
        <w:t>(ז)</w:t>
      </w:r>
      <w:r w:rsidRPr="008228C8">
        <w:rPr>
          <w:rFonts w:ascii="FrankRuehl" w:eastAsia="Calibri" w:hAnsi="FrankRuehl" w:cs="FrankRuehl"/>
          <w:sz w:val="28"/>
          <w:szCs w:val="28"/>
          <w:rtl/>
        </w:rPr>
        <w:t xml:space="preserve"> התקופה הממושכת בה בוצעו עסקאות אחרות, כמחצית השנה, מהווה שיקול נוסף לחומרה. ראשית, אנו למדים כי בתוך פרק זמן קצר יחסית, כחודש ימים</w:t>
      </w:r>
      <w:r w:rsidR="0022053D">
        <w:rPr>
          <w:rFonts w:ascii="FrankRuehl" w:eastAsia="Calibri" w:hAnsi="FrankRuehl" w:cs="FrankRuehl" w:hint="cs"/>
          <w:sz w:val="28"/>
          <w:szCs w:val="28"/>
          <w:rtl/>
        </w:rPr>
        <w:t xml:space="preserve"> (מחודש אוקטובר 2021 עד חודש נובמבר 2021)</w:t>
      </w:r>
      <w:r w:rsidRPr="008228C8">
        <w:rPr>
          <w:rFonts w:ascii="FrankRuehl" w:eastAsia="Calibri" w:hAnsi="FrankRuehl" w:cs="FrankRuehl"/>
          <w:sz w:val="28"/>
          <w:szCs w:val="28"/>
          <w:rtl/>
        </w:rPr>
        <w:t xml:space="preserve">, הספיקו הנאשמים להעביר את המעבדה משלב ההקמה לשלב התפעול. שנית, כפועל יוצא מכך, </w:t>
      </w:r>
      <w:r w:rsidR="0022053D">
        <w:rPr>
          <w:rFonts w:ascii="FrankRuehl" w:eastAsia="Calibri" w:hAnsi="FrankRuehl" w:cs="FrankRuehl" w:hint="cs"/>
          <w:sz w:val="28"/>
          <w:szCs w:val="28"/>
          <w:rtl/>
        </w:rPr>
        <w:t xml:space="preserve">העסקאות הרבות שהספיק הנאשם 1 לבצע, כל אחת מהן </w:t>
      </w:r>
      <w:r w:rsidR="0022053D">
        <w:rPr>
          <w:rFonts w:ascii="FrankRuehl" w:eastAsia="Calibri" w:hAnsi="FrankRuehl" w:cs="FrankRuehl"/>
          <w:sz w:val="28"/>
          <w:szCs w:val="28"/>
          <w:rtl/>
        </w:rPr>
        <w:t>–</w:t>
      </w:r>
      <w:r w:rsidR="0022053D">
        <w:rPr>
          <w:rFonts w:ascii="FrankRuehl" w:eastAsia="Calibri" w:hAnsi="FrankRuehl" w:cs="FrankRuehl" w:hint="cs"/>
          <w:sz w:val="28"/>
          <w:szCs w:val="28"/>
          <w:rtl/>
        </w:rPr>
        <w:t xml:space="preserve"> מגש ובו מאות שתילים.</w:t>
      </w:r>
    </w:p>
    <w:p w:rsidR="000050AF" w:rsidRDefault="000050AF" w:rsidP="000050AF">
      <w:pPr>
        <w:spacing w:line="360" w:lineRule="auto"/>
        <w:ind w:firstLine="720"/>
        <w:jc w:val="both"/>
        <w:rPr>
          <w:rFonts w:ascii="FrankRuehl" w:eastAsia="Calibri" w:hAnsi="FrankRuehl" w:cs="FrankRuehl"/>
          <w:sz w:val="28"/>
          <w:szCs w:val="28"/>
          <w:rtl/>
        </w:rPr>
      </w:pPr>
    </w:p>
    <w:p w:rsidR="008228C8" w:rsidRDefault="008228C8" w:rsidP="000050AF">
      <w:pPr>
        <w:spacing w:line="360" w:lineRule="auto"/>
        <w:ind w:firstLine="720"/>
        <w:jc w:val="both"/>
        <w:rPr>
          <w:rFonts w:ascii="FrankRuehl" w:eastAsia="Calibri" w:hAnsi="FrankRuehl" w:cs="FrankRuehl"/>
          <w:sz w:val="28"/>
          <w:szCs w:val="28"/>
          <w:rtl/>
        </w:rPr>
      </w:pPr>
      <w:r w:rsidRPr="008228C8">
        <w:rPr>
          <w:rFonts w:ascii="FrankRuehl" w:eastAsia="Calibri" w:hAnsi="FrankRuehl" w:cs="Miriam"/>
          <w:b/>
          <w:sz w:val="28"/>
          <w:rtl/>
        </w:rPr>
        <w:lastRenderedPageBreak/>
        <w:t>(ח)</w:t>
      </w:r>
      <w:r w:rsidRPr="008228C8">
        <w:rPr>
          <w:rFonts w:ascii="FrankRuehl" w:eastAsia="Calibri" w:hAnsi="FrankRuehl" w:cs="FrankRuehl"/>
          <w:sz w:val="28"/>
          <w:szCs w:val="28"/>
          <w:rtl/>
        </w:rPr>
        <w:t xml:space="preserve"> כאמור לעיל, בניגוד לענין חג'ג' אליו הפנה ב"כ הנאשמים, כאן אין המדובר במי שהפסיקו את מעשי העבירה ביוזמתם מחמת חרטה, כי אם במי שמעשיהם הופסקו לאחר שנתפסו.</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8228C8">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14.</w:t>
      </w:r>
      <w:r w:rsidRPr="008228C8">
        <w:rPr>
          <w:rFonts w:ascii="FrankRuehl" w:eastAsia="Calibri" w:hAnsi="FrankRuehl" w:cs="FrankRuehl"/>
          <w:sz w:val="28"/>
          <w:szCs w:val="28"/>
          <w:rtl/>
        </w:rPr>
        <w:tab/>
        <w:t>בהתחשב בשיקולים עליהם עמדתי ובמדיניות הענישה, אני קובע את מתחם העונש הכולל בגין שני האישומים – לנאשם 1 בין 54-32 חודשי מאסר בפועל, ולנאשם 2 בין 30-16 חודשי מאסר בפועל.</w:t>
      </w:r>
    </w:p>
    <w:p w:rsidR="00AD01CB" w:rsidRPr="00981BF8" w:rsidRDefault="00AD01CB" w:rsidP="00AD01CB">
      <w:pPr>
        <w:spacing w:line="360" w:lineRule="auto"/>
        <w:jc w:val="both"/>
        <w:rPr>
          <w:rFonts w:ascii="FrankRuehl" w:eastAsia="Calibri" w:hAnsi="FrankRuehl" w:cs="Miriam"/>
          <w:b/>
          <w:sz w:val="28"/>
          <w:rtl/>
        </w:rPr>
      </w:pPr>
    </w:p>
    <w:p w:rsidR="00AD01CB" w:rsidRPr="00981BF8" w:rsidRDefault="00FF3254" w:rsidP="00AD01CB">
      <w:pPr>
        <w:spacing w:line="360" w:lineRule="auto"/>
        <w:jc w:val="both"/>
        <w:rPr>
          <w:rFonts w:ascii="FrankRuehl" w:eastAsia="Calibri" w:hAnsi="FrankRuehl" w:cs="Miriam"/>
          <w:b/>
          <w:sz w:val="28"/>
          <w:rtl/>
        </w:rPr>
      </w:pPr>
      <w:r w:rsidRPr="00981BF8">
        <w:rPr>
          <w:rFonts w:ascii="FrankRuehl" w:eastAsia="Calibri" w:hAnsi="FrankRuehl" w:cs="Miriam" w:hint="cs"/>
          <w:b/>
          <w:sz w:val="28"/>
          <w:rtl/>
        </w:rPr>
        <w:t xml:space="preserve">קביעת </w:t>
      </w:r>
      <w:r w:rsidR="00AD01CB" w:rsidRPr="00981BF8">
        <w:rPr>
          <w:rFonts w:ascii="FrankRuehl" w:eastAsia="Calibri" w:hAnsi="FrankRuehl" w:cs="Miriam" w:hint="cs"/>
          <w:b/>
          <w:sz w:val="28"/>
          <w:rtl/>
        </w:rPr>
        <w:t>העונש המתאים לנאשמים</w:t>
      </w:r>
    </w:p>
    <w:p w:rsidR="008228C8" w:rsidRPr="008228C8" w:rsidRDefault="008228C8" w:rsidP="008228C8">
      <w:pPr>
        <w:spacing w:line="360" w:lineRule="auto"/>
        <w:jc w:val="both"/>
        <w:rPr>
          <w:rFonts w:ascii="FrankRuehl" w:eastAsia="Calibri" w:hAnsi="FrankRuehl" w:cs="FrankRuehl"/>
          <w:sz w:val="28"/>
          <w:szCs w:val="28"/>
          <w:rtl/>
        </w:rPr>
      </w:pPr>
    </w:p>
    <w:p w:rsidR="008228C8" w:rsidRDefault="008228C8" w:rsidP="00CC2E02">
      <w:pPr>
        <w:spacing w:line="360" w:lineRule="auto"/>
        <w:jc w:val="both"/>
        <w:rPr>
          <w:rFonts w:ascii="FrankRuehl" w:hAnsi="FrankRuehl" w:cs="FrankRuehl"/>
          <w:sz w:val="28"/>
          <w:szCs w:val="28"/>
          <w:rtl/>
        </w:rPr>
      </w:pPr>
      <w:r w:rsidRPr="008228C8">
        <w:rPr>
          <w:rFonts w:ascii="FrankRuehl" w:eastAsia="Calibri" w:hAnsi="FrankRuehl" w:cs="FrankRuehl"/>
          <w:sz w:val="28"/>
          <w:szCs w:val="28"/>
          <w:rtl/>
        </w:rPr>
        <w:t>15.</w:t>
      </w:r>
      <w:r w:rsidRPr="008228C8">
        <w:rPr>
          <w:rFonts w:ascii="FrankRuehl" w:eastAsia="Calibri" w:hAnsi="FrankRuehl" w:cs="FrankRuehl"/>
          <w:sz w:val="28"/>
          <w:szCs w:val="28"/>
          <w:rtl/>
        </w:rPr>
        <w:tab/>
        <w:t xml:space="preserve">בקביעת העונש ביקש ב"כ הנאשמים לייחס משקל רב להליך הטיפולי שעברו הנאשמים, ועתר לחרוג מהמתחם לקולה משיקולי שיקום. </w:t>
      </w:r>
      <w:r w:rsidR="008D2003">
        <w:rPr>
          <w:rFonts w:ascii="FrankRuehl" w:eastAsia="Calibri" w:hAnsi="FrankRuehl" w:cs="FrankRuehl" w:hint="cs"/>
          <w:sz w:val="28"/>
          <w:szCs w:val="28"/>
          <w:rtl/>
        </w:rPr>
        <w:t xml:space="preserve">לא אוכל להיעתר לבקשה. כפי שנקבע </w:t>
      </w:r>
      <w:r w:rsidR="00CC2E02">
        <w:rPr>
          <w:rFonts w:ascii="FrankRuehl" w:eastAsia="Calibri" w:hAnsi="FrankRuehl" w:cs="FrankRuehl" w:hint="cs"/>
          <w:sz w:val="28"/>
          <w:szCs w:val="28"/>
          <w:rtl/>
        </w:rPr>
        <w:t>פעמים רבות</w:t>
      </w:r>
      <w:r w:rsidR="008D2003">
        <w:rPr>
          <w:rFonts w:ascii="FrankRuehl" w:eastAsia="Calibri" w:hAnsi="FrankRuehl" w:cs="FrankRuehl" w:hint="cs"/>
          <w:sz w:val="28"/>
          <w:szCs w:val="28"/>
          <w:rtl/>
        </w:rPr>
        <w:t xml:space="preserve">, </w:t>
      </w:r>
      <w:r w:rsidRPr="00981BF8">
        <w:rPr>
          <w:rFonts w:ascii="FrankRuehl" w:eastAsia="Calibri" w:hAnsi="FrankRuehl" w:cs="Miriam"/>
          <w:b/>
          <w:sz w:val="28"/>
          <w:rtl/>
        </w:rPr>
        <w:t>"שיקום אינה מילת קסם"</w:t>
      </w:r>
      <w:r w:rsidRPr="008228C8">
        <w:rPr>
          <w:rFonts w:ascii="FrankRuehl" w:eastAsia="Calibri" w:hAnsi="FrankRuehl" w:cs="FrankRuehl"/>
          <w:sz w:val="28"/>
          <w:szCs w:val="28"/>
          <w:rtl/>
        </w:rPr>
        <w:t xml:space="preserve"> (רע"פ 3406/24 </w:t>
      </w:r>
      <w:r w:rsidRPr="008228C8">
        <w:rPr>
          <w:rFonts w:ascii="FrankRuehl" w:eastAsia="Calibri" w:hAnsi="FrankRuehl" w:cs="Miriam"/>
          <w:b/>
          <w:sz w:val="28"/>
          <w:rtl/>
        </w:rPr>
        <w:t xml:space="preserve">פלוני נ' מדינת ישראל </w:t>
      </w:r>
      <w:r w:rsidRPr="008228C8">
        <w:rPr>
          <w:rFonts w:ascii="FrankRuehl" w:eastAsia="Calibri" w:hAnsi="FrankRuehl" w:cs="FrankRuehl"/>
          <w:sz w:val="28"/>
          <w:szCs w:val="28"/>
          <w:rtl/>
        </w:rPr>
        <w:t xml:space="preserve">(21.4.24, פסקה 11)). הליך השיקום איננו מסיג לאחור את שיקולי הענישה האחרים, ובראשם הצורך ביחס הולם בין מעשה העבירה בנסיבותיו ומידת אשמו של הנאשם, לבין חומרת העונש (סעיף 40ב לחוק העונשין). עבירות </w:t>
      </w:r>
      <w:r w:rsidR="008D2003">
        <w:rPr>
          <w:rFonts w:ascii="FrankRuehl" w:eastAsia="Calibri" w:hAnsi="FrankRuehl" w:cs="FrankRuehl" w:hint="cs"/>
          <w:sz w:val="28"/>
          <w:szCs w:val="28"/>
          <w:rtl/>
        </w:rPr>
        <w:t xml:space="preserve">חמורות על פקודת הסמים </w:t>
      </w:r>
      <w:r w:rsidRPr="008228C8">
        <w:rPr>
          <w:rFonts w:ascii="FrankRuehl" w:eastAsia="Calibri" w:hAnsi="FrankRuehl" w:cs="FrankRuehl"/>
          <w:sz w:val="28"/>
          <w:szCs w:val="28"/>
          <w:rtl/>
        </w:rPr>
        <w:t xml:space="preserve">מצדיקות, ככלל, גזירת עונשי מאסר </w:t>
      </w:r>
      <w:r w:rsidR="00F452B0">
        <w:rPr>
          <w:rFonts w:ascii="FrankRuehl" w:eastAsia="Calibri" w:hAnsi="FrankRuehl" w:cs="FrankRuehl" w:hint="cs"/>
          <w:sz w:val="28"/>
          <w:szCs w:val="28"/>
          <w:rtl/>
        </w:rPr>
        <w:t>ממושכים</w:t>
      </w:r>
      <w:r w:rsidRPr="008228C8">
        <w:rPr>
          <w:rFonts w:ascii="FrankRuehl" w:eastAsia="Calibri" w:hAnsi="FrankRuehl" w:cs="FrankRuehl"/>
          <w:sz w:val="28"/>
          <w:szCs w:val="28"/>
          <w:rtl/>
        </w:rPr>
        <w:t xml:space="preserve"> מאחורי סורג ובריח. ראו ענין זוהר (פסקה 5)</w:t>
      </w:r>
      <w:r w:rsidRPr="008228C8">
        <w:rPr>
          <w:rFonts w:ascii="FrankRuehl" w:hAnsi="FrankRuehl" w:cs="FrankRuehl"/>
          <w:sz w:val="28"/>
          <w:szCs w:val="28"/>
          <w:rtl/>
        </w:rPr>
        <w:t>:</w:t>
      </w:r>
    </w:p>
    <w:p w:rsidR="00DC347D" w:rsidRPr="008228C8" w:rsidRDefault="00DC347D" w:rsidP="00F452B0">
      <w:pPr>
        <w:spacing w:line="360" w:lineRule="auto"/>
        <w:jc w:val="both"/>
        <w:rPr>
          <w:rFonts w:ascii="FrankRuehl" w:hAnsi="FrankRuehl" w:cs="FrankRuehl"/>
          <w:sz w:val="28"/>
          <w:szCs w:val="28"/>
          <w:rtl/>
        </w:rPr>
      </w:pPr>
    </w:p>
    <w:p w:rsidR="008228C8" w:rsidRPr="008228C8" w:rsidRDefault="008228C8" w:rsidP="008228C8">
      <w:pPr>
        <w:tabs>
          <w:tab w:val="left" w:pos="800"/>
          <w:tab w:val="num" w:pos="907"/>
        </w:tabs>
        <w:overflowPunct w:val="0"/>
        <w:autoSpaceDE w:val="0"/>
        <w:autoSpaceDN w:val="0"/>
        <w:adjustRightInd w:val="0"/>
        <w:ind w:left="1644" w:right="1247"/>
        <w:jc w:val="both"/>
        <w:textAlignment w:val="baseline"/>
        <w:rPr>
          <w:rFonts w:ascii="Garamond" w:hAnsi="Garamond" w:cs="FrankRuehl"/>
          <w:spacing w:val="10"/>
          <w:szCs w:val="28"/>
          <w:rtl/>
        </w:rPr>
      </w:pPr>
      <w:r w:rsidRPr="008228C8">
        <w:rPr>
          <w:rFonts w:ascii="Garamond" w:hAnsi="Garamond" w:cs="FrankRuehl"/>
          <w:spacing w:val="10"/>
          <w:szCs w:val="28"/>
          <w:rtl/>
        </w:rPr>
        <w:t xml:space="preserve">לא מצאתי כי טענת המבקש בדבר פגיעה בהליך שיקומו מצדיקה מתן רשות ערעור. כידוע, אין בשיקול השיקום כדי להסיג לחלוטין את יתר שיקולי הענישה (ע"פ 7459/12 </w:t>
      </w:r>
      <w:r w:rsidRPr="008228C8">
        <w:rPr>
          <w:rFonts w:ascii="Century" w:hAnsi="Century" w:cs="Miriam"/>
          <w:b/>
          <w:sz w:val="22"/>
          <w:rtl/>
        </w:rPr>
        <w:t>שיבר נ' מדינת ישראל</w:t>
      </w:r>
      <w:r w:rsidRPr="008228C8">
        <w:rPr>
          <w:rFonts w:ascii="Garamond" w:hAnsi="Garamond" w:cs="FrankRuehl"/>
          <w:spacing w:val="10"/>
          <w:szCs w:val="28"/>
          <w:rtl/>
        </w:rPr>
        <w:t xml:space="preserve">, פסקה 6 (20.6.2013); ע"פ 452/14 </w:t>
      </w:r>
      <w:r w:rsidRPr="008228C8">
        <w:rPr>
          <w:rFonts w:ascii="Century" w:hAnsi="Century" w:cs="Miriam"/>
          <w:b/>
          <w:sz w:val="22"/>
          <w:rtl/>
        </w:rPr>
        <w:t>דבוש נ' מדינת ישראל</w:t>
      </w:r>
      <w:r w:rsidRPr="008228C8">
        <w:rPr>
          <w:rFonts w:ascii="Garamond" w:hAnsi="Garamond" w:cs="FrankRuehl"/>
          <w:spacing w:val="10"/>
          <w:szCs w:val="28"/>
          <w:rtl/>
        </w:rPr>
        <w:t xml:space="preserve">, פסקה 12 (3.4.2014)). עבירות סחר והפצה של סמים מסוכנים, בהן הורשע המבקש, הן עבירות חמורות המצדיקות ענישה במאסר מאחורי סורג ובריח ולא בדרך של עבודות שירות, כאמירה ערכית (ע"פ 2596/18 </w:t>
      </w:r>
      <w:r w:rsidRPr="008228C8">
        <w:rPr>
          <w:rFonts w:ascii="Century" w:hAnsi="Century" w:cs="Miriam"/>
          <w:b/>
          <w:sz w:val="22"/>
          <w:rtl/>
        </w:rPr>
        <w:t>זנזורי נ' מדינת ישראל</w:t>
      </w:r>
      <w:r w:rsidRPr="008228C8">
        <w:rPr>
          <w:rFonts w:ascii="Garamond" w:hAnsi="Garamond" w:cs="FrankRuehl"/>
          <w:spacing w:val="10"/>
          <w:szCs w:val="28"/>
          <w:rtl/>
        </w:rPr>
        <w:t>, פסקה 8 (12.8.2018)). בענייננו, הדבר הינו מקל וחומר עת הגדיר בית משפט השלום את מעשי המבקש כהקמת "עסק" לממכר סמים. בנסיבות אלה, הטלת המאסר לריצוי בדרך של עבודות שירות מאיינת את משקלו של עיקרון ההלימה.</w:t>
      </w:r>
    </w:p>
    <w:p w:rsidR="008228C8" w:rsidRPr="008228C8" w:rsidRDefault="008228C8" w:rsidP="008228C8">
      <w:pPr>
        <w:spacing w:line="360" w:lineRule="auto"/>
        <w:jc w:val="both"/>
        <w:rPr>
          <w:rFonts w:ascii="FrankRuehl" w:eastAsia="Calibri" w:hAnsi="FrankRuehl" w:cs="FrankRuehl"/>
          <w:sz w:val="28"/>
          <w:szCs w:val="28"/>
          <w:rtl/>
        </w:rPr>
      </w:pPr>
    </w:p>
    <w:p w:rsidR="00947A75" w:rsidRDefault="008228C8" w:rsidP="00947A75">
      <w:pPr>
        <w:spacing w:line="360" w:lineRule="auto"/>
        <w:jc w:val="both"/>
        <w:rPr>
          <w:rFonts w:ascii="FrankRuehl" w:eastAsia="Calibri" w:hAnsi="FrankRuehl" w:cs="Miriam"/>
          <w:b/>
          <w:sz w:val="28"/>
          <w:rtl/>
        </w:rPr>
      </w:pPr>
      <w:r w:rsidRPr="008228C8">
        <w:rPr>
          <w:rFonts w:ascii="FrankRuehl" w:eastAsia="Calibri" w:hAnsi="FrankRuehl" w:cs="FrankRuehl"/>
          <w:sz w:val="28"/>
          <w:szCs w:val="28"/>
          <w:rtl/>
        </w:rPr>
        <w:t>16.</w:t>
      </w:r>
      <w:r w:rsidRPr="008228C8">
        <w:rPr>
          <w:rFonts w:ascii="FrankRuehl" w:eastAsia="Calibri" w:hAnsi="FrankRuehl" w:cs="FrankRuehl"/>
          <w:sz w:val="28"/>
          <w:szCs w:val="28"/>
          <w:rtl/>
        </w:rPr>
        <w:tab/>
      </w:r>
      <w:r w:rsidR="00947A75">
        <w:rPr>
          <w:rFonts w:ascii="FrankRuehl" w:eastAsia="Calibri" w:hAnsi="FrankRuehl" w:cs="FrankRuehl" w:hint="cs"/>
          <w:sz w:val="28"/>
          <w:szCs w:val="28"/>
          <w:rtl/>
        </w:rPr>
        <w:t>בניגוד ל</w:t>
      </w:r>
      <w:r w:rsidR="0001730C">
        <w:rPr>
          <w:rFonts w:ascii="FrankRuehl" w:eastAsia="Calibri" w:hAnsi="FrankRuehl" w:cs="FrankRuehl" w:hint="cs"/>
          <w:sz w:val="28"/>
          <w:szCs w:val="28"/>
          <w:rtl/>
        </w:rPr>
        <w:t>נסיבות ב</w:t>
      </w:r>
      <w:r w:rsidR="00947A75">
        <w:rPr>
          <w:rFonts w:ascii="FrankRuehl" w:eastAsia="Calibri" w:hAnsi="FrankRuehl" w:cs="FrankRuehl" w:hint="cs"/>
          <w:sz w:val="28"/>
          <w:szCs w:val="28"/>
          <w:rtl/>
        </w:rPr>
        <w:t>פסקי הדין שהגישה ההגנה, בהם חרגו בתי המשפט מהמתחם לקולה משיקולי שיקום, לא שוכנעתי כי הנא</w:t>
      </w:r>
      <w:r w:rsidR="00CC3D66">
        <w:rPr>
          <w:rFonts w:ascii="FrankRuehl" w:eastAsia="Calibri" w:hAnsi="FrankRuehl" w:cs="FrankRuehl" w:hint="cs"/>
          <w:sz w:val="28"/>
          <w:szCs w:val="28"/>
          <w:rtl/>
        </w:rPr>
        <w:t>שמים ראויים להקלה זו.</w:t>
      </w:r>
    </w:p>
    <w:p w:rsidR="00947A75" w:rsidRDefault="00947A75" w:rsidP="008228C8">
      <w:pPr>
        <w:spacing w:line="360" w:lineRule="auto"/>
        <w:jc w:val="both"/>
        <w:rPr>
          <w:rFonts w:ascii="FrankRuehl" w:eastAsia="Calibri" w:hAnsi="FrankRuehl" w:cs="Miriam"/>
          <w:b/>
          <w:sz w:val="28"/>
          <w:rtl/>
        </w:rPr>
      </w:pPr>
    </w:p>
    <w:p w:rsidR="008228C8" w:rsidRPr="008228C8" w:rsidRDefault="008228C8" w:rsidP="00340C4C">
      <w:pPr>
        <w:spacing w:line="360" w:lineRule="auto"/>
        <w:ind w:firstLine="720"/>
        <w:jc w:val="both"/>
        <w:rPr>
          <w:rFonts w:ascii="FrankRuehl" w:eastAsia="Calibri" w:hAnsi="FrankRuehl" w:cs="FrankRuehl"/>
          <w:sz w:val="28"/>
          <w:szCs w:val="28"/>
          <w:rtl/>
        </w:rPr>
      </w:pPr>
      <w:r w:rsidRPr="008228C8">
        <w:rPr>
          <w:rFonts w:ascii="FrankRuehl" w:eastAsia="Calibri" w:hAnsi="FrankRuehl" w:cs="Miriam"/>
          <w:b/>
          <w:sz w:val="28"/>
          <w:rtl/>
        </w:rPr>
        <w:lastRenderedPageBreak/>
        <w:t>הנאשם 1</w:t>
      </w:r>
      <w:r w:rsidRPr="008228C8">
        <w:rPr>
          <w:rFonts w:ascii="FrankRuehl" w:eastAsia="Calibri" w:hAnsi="FrankRuehl" w:cs="FrankRuehl"/>
          <w:sz w:val="28"/>
          <w:szCs w:val="28"/>
          <w:rtl/>
        </w:rPr>
        <w:t xml:space="preserve"> – בן כ-59, נעדר הרשעות קודמות. </w:t>
      </w:r>
      <w:r w:rsidR="00DB76A8">
        <w:rPr>
          <w:rFonts w:ascii="FrankRuehl" w:eastAsia="Calibri" w:hAnsi="FrankRuehl" w:cs="FrankRuehl" w:hint="cs"/>
          <w:sz w:val="28"/>
          <w:szCs w:val="28"/>
          <w:rtl/>
        </w:rPr>
        <w:t>הוא</w:t>
      </w:r>
      <w:r w:rsidRPr="008228C8">
        <w:rPr>
          <w:rFonts w:ascii="FrankRuehl" w:eastAsia="Calibri" w:hAnsi="FrankRuehl" w:cs="FrankRuehl"/>
          <w:sz w:val="28"/>
          <w:szCs w:val="28"/>
          <w:rtl/>
        </w:rPr>
        <w:t xml:space="preserve"> גדל במשפחה מורכבת</w:t>
      </w:r>
      <w:r w:rsidR="00DB76A8">
        <w:rPr>
          <w:rFonts w:ascii="FrankRuehl" w:eastAsia="Calibri" w:hAnsi="FrankRuehl" w:cs="FrankRuehl"/>
          <w:sz w:val="28"/>
          <w:szCs w:val="28"/>
          <w:rtl/>
        </w:rPr>
        <w:t xml:space="preserve">, בה הוריו התגרשו בהיותו פעוט, </w:t>
      </w:r>
      <w:r w:rsidRPr="008228C8">
        <w:rPr>
          <w:rFonts w:ascii="FrankRuehl" w:eastAsia="Calibri" w:hAnsi="FrankRuehl" w:cs="FrankRuehl"/>
          <w:sz w:val="28"/>
          <w:szCs w:val="28"/>
          <w:rtl/>
        </w:rPr>
        <w:t xml:space="preserve">מצא עצמו נודד בין בתי ההורים שהתגוררו בשני קצוות הארץ, ונשר ממערכת החינוך בגיל צעיר. </w:t>
      </w:r>
      <w:r w:rsidR="00DB76A8">
        <w:rPr>
          <w:rFonts w:ascii="FrankRuehl" w:eastAsia="Calibri" w:hAnsi="FrankRuehl" w:cs="FrankRuehl" w:hint="cs"/>
          <w:sz w:val="28"/>
          <w:szCs w:val="28"/>
          <w:rtl/>
        </w:rPr>
        <w:t xml:space="preserve">חרף נתוני הפתיחה הירודים, המשך </w:t>
      </w:r>
      <w:r w:rsidRPr="008228C8">
        <w:rPr>
          <w:rFonts w:ascii="FrankRuehl" w:eastAsia="Calibri" w:hAnsi="FrankRuehl" w:cs="FrankRuehl"/>
          <w:sz w:val="28"/>
          <w:szCs w:val="28"/>
          <w:rtl/>
        </w:rPr>
        <w:t xml:space="preserve">חייו </w:t>
      </w:r>
      <w:r w:rsidR="00DB76A8">
        <w:rPr>
          <w:rFonts w:ascii="FrankRuehl" w:eastAsia="Calibri" w:hAnsi="FrankRuehl" w:cs="FrankRuehl" w:hint="cs"/>
          <w:sz w:val="28"/>
          <w:szCs w:val="28"/>
          <w:rtl/>
        </w:rPr>
        <w:t xml:space="preserve">הבוגרים </w:t>
      </w:r>
      <w:r w:rsidRPr="008228C8">
        <w:rPr>
          <w:rFonts w:ascii="FrankRuehl" w:eastAsia="Calibri" w:hAnsi="FrankRuehl" w:cs="FrankRuehl"/>
          <w:sz w:val="28"/>
          <w:szCs w:val="28"/>
          <w:rtl/>
        </w:rPr>
        <w:t>היה נורמטיבי. הנאשם שירת בצה"ל, אז השלים 12 שנות לימוד, חי בזו</w:t>
      </w:r>
      <w:r w:rsidR="00715E07">
        <w:rPr>
          <w:rFonts w:ascii="FrankRuehl" w:eastAsia="Calibri" w:hAnsi="FrankRuehl" w:cs="FrankRuehl"/>
          <w:sz w:val="28"/>
          <w:szCs w:val="28"/>
          <w:rtl/>
        </w:rPr>
        <w:t>גיות במשך שנים רבות, הקים משפחה</w:t>
      </w:r>
      <w:r w:rsidR="00715E07">
        <w:rPr>
          <w:rFonts w:ascii="FrankRuehl" w:eastAsia="Calibri" w:hAnsi="FrankRuehl" w:cs="FrankRuehl" w:hint="cs"/>
          <w:sz w:val="28"/>
          <w:szCs w:val="28"/>
          <w:rtl/>
        </w:rPr>
        <w:t xml:space="preserve">, עבד לפרנסתו, </w:t>
      </w:r>
      <w:r w:rsidRPr="008228C8">
        <w:rPr>
          <w:rFonts w:ascii="FrankRuehl" w:eastAsia="Calibri" w:hAnsi="FrankRuehl" w:cs="FrankRuehl"/>
          <w:sz w:val="28"/>
          <w:szCs w:val="28"/>
          <w:rtl/>
        </w:rPr>
        <w:t xml:space="preserve">וגידל את ילדיו. </w:t>
      </w:r>
      <w:r w:rsidR="00715E07">
        <w:rPr>
          <w:rFonts w:ascii="FrankRuehl" w:eastAsia="Calibri" w:hAnsi="FrankRuehl" w:cs="FrankRuehl" w:hint="cs"/>
          <w:sz w:val="28"/>
          <w:szCs w:val="28"/>
          <w:rtl/>
        </w:rPr>
        <w:t xml:space="preserve">הנאשם 1 איננו </w:t>
      </w:r>
      <w:r w:rsidRPr="008228C8">
        <w:rPr>
          <w:rFonts w:ascii="FrankRuehl" w:eastAsia="Calibri" w:hAnsi="FrankRuehl" w:cs="FrankRuehl"/>
          <w:sz w:val="28"/>
          <w:szCs w:val="28"/>
          <w:rtl/>
        </w:rPr>
        <w:t xml:space="preserve">עבריין הזקוק להליך שיקומי, </w:t>
      </w:r>
      <w:r w:rsidR="0011693F">
        <w:rPr>
          <w:rFonts w:ascii="FrankRuehl" w:eastAsia="Calibri" w:hAnsi="FrankRuehl" w:cs="FrankRuehl" w:hint="cs"/>
          <w:sz w:val="28"/>
          <w:szCs w:val="28"/>
          <w:rtl/>
        </w:rPr>
        <w:t xml:space="preserve">או </w:t>
      </w:r>
      <w:r w:rsidR="00715E07">
        <w:rPr>
          <w:rFonts w:ascii="FrankRuehl" w:eastAsia="Calibri" w:hAnsi="FrankRuehl" w:cs="FrankRuehl" w:hint="cs"/>
          <w:sz w:val="28"/>
          <w:szCs w:val="28"/>
          <w:rtl/>
        </w:rPr>
        <w:t>כזה</w:t>
      </w:r>
      <w:r w:rsidR="0011693F">
        <w:rPr>
          <w:rFonts w:ascii="FrankRuehl" w:eastAsia="Calibri" w:hAnsi="FrankRuehl" w:cs="FrankRuehl" w:hint="cs"/>
          <w:sz w:val="28"/>
          <w:szCs w:val="28"/>
          <w:rtl/>
        </w:rPr>
        <w:t xml:space="preserve"> שהתדרדר לעולם הפשע, </w:t>
      </w:r>
      <w:r w:rsidRPr="008228C8">
        <w:rPr>
          <w:rFonts w:ascii="FrankRuehl" w:eastAsia="Calibri" w:hAnsi="FrankRuehl" w:cs="FrankRuehl"/>
          <w:sz w:val="28"/>
          <w:szCs w:val="28"/>
          <w:rtl/>
        </w:rPr>
        <w:t xml:space="preserve">כי אם </w:t>
      </w:r>
      <w:r w:rsidR="00340C4C">
        <w:rPr>
          <w:rFonts w:ascii="FrankRuehl" w:eastAsia="Calibri" w:hAnsi="FrankRuehl" w:cs="FrankRuehl" w:hint="cs"/>
          <w:sz w:val="28"/>
          <w:szCs w:val="28"/>
          <w:rtl/>
        </w:rPr>
        <w:t>מי</w:t>
      </w:r>
      <w:r w:rsidRPr="008228C8">
        <w:rPr>
          <w:rFonts w:ascii="FrankRuehl" w:eastAsia="Calibri" w:hAnsi="FrankRuehl" w:cs="FrankRuehl"/>
          <w:sz w:val="28"/>
          <w:szCs w:val="28"/>
          <w:rtl/>
        </w:rPr>
        <w:t xml:space="preserve"> </w:t>
      </w:r>
      <w:r w:rsidR="0011693F">
        <w:rPr>
          <w:rFonts w:ascii="FrankRuehl" w:eastAsia="Calibri" w:hAnsi="FrankRuehl" w:cs="FrankRuehl" w:hint="cs"/>
          <w:sz w:val="28"/>
          <w:szCs w:val="28"/>
          <w:rtl/>
        </w:rPr>
        <w:t xml:space="preserve">שבחר במודע </w:t>
      </w:r>
      <w:r w:rsidR="00715E07">
        <w:rPr>
          <w:rFonts w:ascii="FrankRuehl" w:eastAsia="Calibri" w:hAnsi="FrankRuehl" w:cs="FrankRuehl" w:hint="cs"/>
          <w:sz w:val="28"/>
          <w:szCs w:val="28"/>
          <w:rtl/>
        </w:rPr>
        <w:t xml:space="preserve">להקים מעין מפעל לייצור סמים, </w:t>
      </w:r>
      <w:r w:rsidRPr="008228C8">
        <w:rPr>
          <w:rFonts w:ascii="FrankRuehl" w:eastAsia="Calibri" w:hAnsi="FrankRuehl" w:cs="FrankRuehl"/>
          <w:sz w:val="28"/>
          <w:szCs w:val="28"/>
          <w:rtl/>
        </w:rPr>
        <w:t>מתוך שיקול קר של רצון להרוויח "כסף מהיר" על רקע חובות אליהם נקלע</w:t>
      </w:r>
      <w:r w:rsidR="00715E07">
        <w:rPr>
          <w:rFonts w:ascii="FrankRuehl" w:eastAsia="Calibri" w:hAnsi="FrankRuehl" w:cs="FrankRuehl" w:hint="cs"/>
          <w:sz w:val="28"/>
          <w:szCs w:val="28"/>
          <w:rtl/>
        </w:rPr>
        <w:t>.</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715E07">
      <w:pPr>
        <w:spacing w:line="360" w:lineRule="auto"/>
        <w:ind w:firstLine="720"/>
        <w:jc w:val="both"/>
        <w:rPr>
          <w:rFonts w:ascii="FrankRuehl" w:eastAsia="Calibri" w:hAnsi="FrankRuehl" w:cs="FrankRuehl"/>
          <w:sz w:val="28"/>
          <w:szCs w:val="28"/>
          <w:rtl/>
        </w:rPr>
      </w:pPr>
      <w:r w:rsidRPr="008228C8">
        <w:rPr>
          <w:rFonts w:ascii="FrankRuehl" w:eastAsia="Calibri" w:hAnsi="FrankRuehl" w:cs="FrankRuehl"/>
          <w:sz w:val="28"/>
          <w:szCs w:val="28"/>
          <w:rtl/>
        </w:rPr>
        <w:t xml:space="preserve">נתוניו החיוביים של הנאשם 1 נזקפים כמובן לטובתו במסגרת קביעת העונש. עוד זקפתי לזכותו את הודייתו במיוחס לו, קבלת אחריות על מעשיו, וכפועל יוצא מכך, חיסכון בזמן שיפוטי. מצבו הרפואי של הנאשם נלקח בחשבון, </w:t>
      </w:r>
      <w:r w:rsidR="00390322">
        <w:rPr>
          <w:rFonts w:ascii="FrankRuehl" w:eastAsia="Calibri" w:hAnsi="FrankRuehl" w:cs="FrankRuehl" w:hint="cs"/>
          <w:sz w:val="28"/>
          <w:szCs w:val="28"/>
          <w:rtl/>
        </w:rPr>
        <w:t xml:space="preserve">וכך </w:t>
      </w:r>
      <w:r w:rsidRPr="008228C8">
        <w:rPr>
          <w:rFonts w:ascii="FrankRuehl" w:eastAsia="Calibri" w:hAnsi="FrankRuehl" w:cs="FrankRuehl"/>
          <w:sz w:val="28"/>
          <w:szCs w:val="28"/>
          <w:rtl/>
        </w:rPr>
        <w:t xml:space="preserve">גם השפעתו הצפויה של עונש מאסר ממושך בפועל – לראשונה בחייו – עליו ועל בני משפחתו. </w:t>
      </w:r>
      <w:r w:rsidR="00390322">
        <w:rPr>
          <w:rFonts w:ascii="FrankRuehl" w:eastAsia="Calibri" w:hAnsi="FrankRuehl" w:cs="FrankRuehl" w:hint="cs"/>
          <w:sz w:val="28"/>
          <w:szCs w:val="28"/>
          <w:rtl/>
        </w:rPr>
        <w:t xml:space="preserve">התחשבתי לטובת הנאשם בשיתוף הפעולה שלו עם שירות המבחן, ברם, לא ניתן לראות בכך הליך שיקומי, כי אם קשר טיפולי מצומצם וקצר מועד. </w:t>
      </w:r>
      <w:r w:rsidRPr="008228C8">
        <w:rPr>
          <w:rFonts w:ascii="FrankRuehl" w:eastAsia="Calibri" w:hAnsi="FrankRuehl" w:cs="FrankRuehl"/>
          <w:sz w:val="28"/>
          <w:szCs w:val="28"/>
          <w:rtl/>
        </w:rPr>
        <w:t xml:space="preserve">הנאשם השתתף בקבוצה טיפולית במסגרת צו פיקוח מעצרים; </w:t>
      </w:r>
      <w:r w:rsidR="00322EAB" w:rsidRPr="008228C8">
        <w:rPr>
          <w:rFonts w:ascii="FrankRuehl" w:eastAsia="Calibri" w:hAnsi="FrankRuehl" w:cs="FrankRuehl"/>
          <w:sz w:val="28"/>
          <w:szCs w:val="28"/>
          <w:rtl/>
        </w:rPr>
        <w:t>בטיפול רגשי מ</w:t>
      </w:r>
      <w:r w:rsidR="00322EAB">
        <w:rPr>
          <w:rFonts w:ascii="FrankRuehl" w:eastAsia="Calibri" w:hAnsi="FrankRuehl" w:cs="FrankRuehl"/>
          <w:sz w:val="28"/>
          <w:szCs w:val="28"/>
          <w:rtl/>
        </w:rPr>
        <w:t>טעם קופת החולים אליה הוא משתייך</w:t>
      </w:r>
      <w:r w:rsidR="00322EAB">
        <w:rPr>
          <w:rFonts w:ascii="FrankRuehl" w:eastAsia="Calibri" w:hAnsi="FrankRuehl" w:cs="FrankRuehl" w:hint="cs"/>
          <w:sz w:val="28"/>
          <w:szCs w:val="28"/>
          <w:rtl/>
        </w:rPr>
        <w:t xml:space="preserve"> </w:t>
      </w:r>
      <w:r w:rsidR="00322EAB">
        <w:rPr>
          <w:rFonts w:ascii="FrankRuehl" w:eastAsia="Calibri" w:hAnsi="FrankRuehl" w:cs="FrankRuehl"/>
          <w:sz w:val="28"/>
          <w:szCs w:val="28"/>
          <w:rtl/>
        </w:rPr>
        <w:t>–</w:t>
      </w:r>
      <w:r w:rsidR="00322EAB" w:rsidRPr="008228C8">
        <w:rPr>
          <w:rFonts w:ascii="FrankRuehl" w:eastAsia="Calibri" w:hAnsi="FrankRuehl" w:cs="FrankRuehl"/>
          <w:sz w:val="28"/>
          <w:szCs w:val="28"/>
          <w:rtl/>
        </w:rPr>
        <w:t xml:space="preserve"> </w:t>
      </w:r>
      <w:r w:rsidRPr="008228C8">
        <w:rPr>
          <w:rFonts w:ascii="FrankRuehl" w:eastAsia="Calibri" w:hAnsi="FrankRuehl" w:cs="FrankRuehl"/>
          <w:sz w:val="28"/>
          <w:szCs w:val="28"/>
          <w:rtl/>
        </w:rPr>
        <w:t>שישה מתוך חמישה עשר מפגשים אישיים להם הוא זכאי</w:t>
      </w:r>
      <w:r w:rsidR="00322EAB">
        <w:rPr>
          <w:rFonts w:ascii="FrankRuehl" w:eastAsia="Calibri" w:hAnsi="FrankRuehl" w:cs="FrankRuehl" w:hint="cs"/>
          <w:sz w:val="28"/>
          <w:szCs w:val="28"/>
          <w:rtl/>
        </w:rPr>
        <w:t xml:space="preserve">, אשר </w:t>
      </w:r>
      <w:r w:rsidRPr="008228C8">
        <w:rPr>
          <w:rFonts w:ascii="FrankRuehl" w:eastAsia="Calibri" w:hAnsi="FrankRuehl" w:cs="FrankRuehl"/>
          <w:sz w:val="28"/>
          <w:szCs w:val="28"/>
          <w:rtl/>
        </w:rPr>
        <w:t xml:space="preserve">התנהלו בהיוועדות חזותית; ובמספר שיחות עם קצינת המבחן. זו העריכה כי </w:t>
      </w:r>
      <w:r w:rsidR="00322EAB">
        <w:rPr>
          <w:rFonts w:ascii="FrankRuehl" w:eastAsia="Calibri" w:hAnsi="FrankRuehl" w:cs="FrankRuehl" w:hint="cs"/>
          <w:sz w:val="28"/>
          <w:szCs w:val="28"/>
          <w:rtl/>
        </w:rPr>
        <w:t>נשקפת מסוכנות נמוכה בלבד לכך שהנאשם יבצע עבירות נוספות</w:t>
      </w:r>
      <w:r w:rsidRPr="008228C8">
        <w:rPr>
          <w:rFonts w:ascii="FrankRuehl" w:eastAsia="Calibri" w:hAnsi="FrankRuehl" w:cs="FrankRuehl"/>
          <w:sz w:val="28"/>
          <w:szCs w:val="28"/>
          <w:rtl/>
        </w:rPr>
        <w:t>.</w:t>
      </w:r>
      <w:r w:rsidR="00322EAB">
        <w:rPr>
          <w:rFonts w:ascii="FrankRuehl" w:eastAsia="Calibri" w:hAnsi="FrankRuehl" w:cs="FrankRuehl" w:hint="cs"/>
          <w:sz w:val="28"/>
          <w:szCs w:val="28"/>
          <w:rtl/>
        </w:rPr>
        <w:t xml:space="preserve"> התרשמותה זו מקובלת עליי.</w:t>
      </w:r>
      <w:r w:rsidR="00075A99">
        <w:rPr>
          <w:rFonts w:ascii="FrankRuehl" w:eastAsia="Calibri" w:hAnsi="FrankRuehl" w:cs="FrankRuehl" w:hint="cs"/>
          <w:sz w:val="28"/>
          <w:szCs w:val="28"/>
          <w:rtl/>
        </w:rPr>
        <w:t xml:space="preserve"> </w:t>
      </w:r>
      <w:r w:rsidR="00322EAB">
        <w:rPr>
          <w:rFonts w:ascii="FrankRuehl" w:eastAsia="Calibri" w:hAnsi="FrankRuehl" w:cs="FrankRuehl" w:hint="cs"/>
          <w:sz w:val="28"/>
          <w:szCs w:val="28"/>
          <w:rtl/>
        </w:rPr>
        <w:t>הנאשם אדם בוגר ומיושב, נורמטיבי בעיקרו, אשר בחר, מתוך שיקול תועלתני, לפעול בניגוד לחוק.</w:t>
      </w:r>
      <w:r w:rsidR="005B0CB5">
        <w:rPr>
          <w:rFonts w:ascii="FrankRuehl" w:eastAsia="Calibri" w:hAnsi="FrankRuehl" w:cs="FrankRuehl" w:hint="cs"/>
          <w:sz w:val="28"/>
          <w:szCs w:val="28"/>
          <w:rtl/>
        </w:rPr>
        <w:t xml:space="preserve"> </w:t>
      </w:r>
      <w:r w:rsidR="00715E07" w:rsidRPr="008228C8">
        <w:rPr>
          <w:rFonts w:ascii="FrankRuehl" w:eastAsia="Calibri" w:hAnsi="FrankRuehl" w:cs="FrankRuehl"/>
          <w:sz w:val="28"/>
          <w:szCs w:val="28"/>
          <w:rtl/>
        </w:rPr>
        <w:t>הנאשם ביצע את מעשיו לאורך תקופה ממושכת, כשהיה מודע כל העת לחומרתם, אך בחר להתעלם מכך</w:t>
      </w:r>
      <w:r w:rsidR="00715E07">
        <w:rPr>
          <w:rFonts w:ascii="FrankRuehl" w:eastAsia="Calibri" w:hAnsi="FrankRuehl" w:cs="FrankRuehl" w:hint="cs"/>
          <w:sz w:val="28"/>
          <w:szCs w:val="28"/>
          <w:rtl/>
        </w:rPr>
        <w:t>,</w:t>
      </w:r>
      <w:r w:rsidR="00715E07" w:rsidRPr="008228C8">
        <w:rPr>
          <w:rFonts w:ascii="FrankRuehl" w:eastAsia="Calibri" w:hAnsi="FrankRuehl" w:cs="FrankRuehl"/>
          <w:sz w:val="28"/>
          <w:szCs w:val="28"/>
          <w:rtl/>
        </w:rPr>
        <w:t xml:space="preserve"> וביכר א</w:t>
      </w:r>
      <w:r w:rsidR="00715E07">
        <w:rPr>
          <w:rFonts w:ascii="FrankRuehl" w:eastAsia="Calibri" w:hAnsi="FrankRuehl" w:cs="FrankRuehl"/>
          <w:sz w:val="28"/>
          <w:szCs w:val="28"/>
          <w:rtl/>
        </w:rPr>
        <w:t>ת טובתו האישית על פני טובת הכלל</w:t>
      </w:r>
      <w:r w:rsidR="00715E07">
        <w:rPr>
          <w:rFonts w:ascii="FrankRuehl" w:eastAsia="Calibri" w:hAnsi="FrankRuehl" w:cs="FrankRuehl" w:hint="cs"/>
          <w:sz w:val="28"/>
          <w:szCs w:val="28"/>
          <w:rtl/>
        </w:rPr>
        <w:t xml:space="preserve">. לשם כך נכון </w:t>
      </w:r>
      <w:r w:rsidR="00715E07" w:rsidRPr="008228C8">
        <w:rPr>
          <w:rFonts w:ascii="FrankRuehl" w:eastAsia="Calibri" w:hAnsi="FrankRuehl" w:cs="FrankRuehl"/>
          <w:sz w:val="28"/>
          <w:szCs w:val="28"/>
          <w:rtl/>
        </w:rPr>
        <w:t>היה לסכן את בריאותו של הציבור, שלומו וביטחונו.</w:t>
      </w:r>
      <w:r w:rsidR="00715E07">
        <w:rPr>
          <w:rFonts w:ascii="FrankRuehl" w:eastAsia="Calibri" w:hAnsi="FrankRuehl" w:cs="FrankRuehl" w:hint="cs"/>
          <w:sz w:val="28"/>
          <w:szCs w:val="28"/>
          <w:rtl/>
        </w:rPr>
        <w:t xml:space="preserve"> </w:t>
      </w:r>
      <w:r w:rsidR="005D108A">
        <w:rPr>
          <w:rFonts w:ascii="FrankRuehl" w:eastAsia="Calibri" w:hAnsi="FrankRuehl" w:cs="FrankRuehl" w:hint="cs"/>
          <w:sz w:val="28"/>
          <w:szCs w:val="28"/>
          <w:rtl/>
        </w:rPr>
        <w:t>ככזה, הוא איננו זקוק לשיקום.</w:t>
      </w:r>
      <w:r w:rsidR="005B0CB5">
        <w:rPr>
          <w:rFonts w:ascii="FrankRuehl" w:eastAsia="Calibri" w:hAnsi="FrankRuehl" w:cs="FrankRuehl" w:hint="cs"/>
          <w:sz w:val="28"/>
          <w:szCs w:val="28"/>
          <w:rtl/>
        </w:rPr>
        <w:t xml:space="preserve"> ההליך </w:t>
      </w:r>
      <w:r w:rsidR="00715E07">
        <w:rPr>
          <w:rFonts w:ascii="FrankRuehl" w:eastAsia="Calibri" w:hAnsi="FrankRuehl" w:cs="FrankRuehl" w:hint="cs"/>
          <w:sz w:val="28"/>
          <w:szCs w:val="28"/>
          <w:rtl/>
        </w:rPr>
        <w:t xml:space="preserve">הטיפולי בו השתתף </w:t>
      </w:r>
      <w:r w:rsidR="005B0CB5">
        <w:rPr>
          <w:rFonts w:ascii="FrankRuehl" w:eastAsia="Calibri" w:hAnsi="FrankRuehl" w:cs="FrankRuehl" w:hint="cs"/>
          <w:sz w:val="28"/>
          <w:szCs w:val="28"/>
          <w:rtl/>
        </w:rPr>
        <w:t>אינו ראוי להיחשב כשיקום, וממילא איננו נדרשים לשקול במקרה זה את סיכויי השיקום.</w:t>
      </w:r>
      <w:r w:rsidR="00322EAB">
        <w:rPr>
          <w:rFonts w:ascii="FrankRuehl" w:eastAsia="Calibri" w:hAnsi="FrankRuehl" w:cs="FrankRuehl" w:hint="cs"/>
          <w:sz w:val="28"/>
          <w:szCs w:val="28"/>
          <w:rtl/>
        </w:rPr>
        <w:t xml:space="preserve"> </w:t>
      </w:r>
      <w:r w:rsidR="005B0CB5">
        <w:rPr>
          <w:rFonts w:ascii="FrankRuehl" w:eastAsia="Calibri" w:hAnsi="FrankRuehl" w:cs="FrankRuehl" w:hint="cs"/>
          <w:sz w:val="28"/>
          <w:szCs w:val="28"/>
          <w:rtl/>
        </w:rPr>
        <w:t xml:space="preserve">מכאן, אך מובן שאין מקום לחרוג לקולה ממתחם העונש שנקבע בענינו. במצב דברים זה, לנוכח השיקולים העומדים לזכות הנאשם, </w:t>
      </w:r>
      <w:r w:rsidRPr="008228C8">
        <w:rPr>
          <w:rFonts w:ascii="FrankRuehl" w:eastAsia="Calibri" w:hAnsi="FrankRuehl" w:cs="FrankRuehl"/>
          <w:sz w:val="28"/>
          <w:szCs w:val="28"/>
          <w:rtl/>
        </w:rPr>
        <w:t>ראוי לגזור את עונשו בתחתית המתחם, כעתירתה של המאשימה.</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DB617B">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17.</w:t>
      </w:r>
      <w:r w:rsidRPr="008228C8">
        <w:rPr>
          <w:rFonts w:ascii="FrankRuehl" w:eastAsia="Calibri" w:hAnsi="FrankRuehl" w:cs="FrankRuehl"/>
          <w:sz w:val="28"/>
          <w:szCs w:val="28"/>
          <w:rtl/>
        </w:rPr>
        <w:tab/>
      </w:r>
      <w:r w:rsidRPr="008228C8">
        <w:rPr>
          <w:rFonts w:ascii="FrankRuehl" w:eastAsia="Calibri" w:hAnsi="FrankRuehl" w:cs="Miriam"/>
          <w:b/>
          <w:sz w:val="28"/>
          <w:rtl/>
        </w:rPr>
        <w:t>אשר לנאשם 2</w:t>
      </w:r>
      <w:r w:rsidRPr="008228C8">
        <w:rPr>
          <w:rFonts w:ascii="FrankRuehl" w:eastAsia="Calibri" w:hAnsi="FrankRuehl" w:cs="FrankRuehl"/>
          <w:sz w:val="28"/>
          <w:szCs w:val="28"/>
          <w:rtl/>
        </w:rPr>
        <w:t xml:space="preserve"> – עסקינן בגבר צעיר, בן כ-32, אשר גדל בתנאים סוציואקונומיים ירודים, ונאלץ לעזור בגיל צעיר לפרנסת המשפחה. הוא השתמש בסמים מאז נערותו, ולדבריו, בתקופה שקדמה לביצוע העבירות, הגביר את תדירות הצריכה. לטענתו, את העבירות ביצע כתוצאה מהתפרקות העסק המשפחתי, על רקע מתחים עם אביו, ובשל צורך כלכלי. לדברי הנאשם,</w:t>
      </w:r>
      <w:r w:rsidR="00A92287">
        <w:rPr>
          <w:rFonts w:ascii="FrankRuehl" w:eastAsia="Calibri" w:hAnsi="FrankRuehl" w:cs="FrankRuehl" w:hint="cs"/>
          <w:sz w:val="28"/>
          <w:szCs w:val="28"/>
          <w:rtl/>
        </w:rPr>
        <w:t xml:space="preserve"> רק</w:t>
      </w:r>
      <w:r w:rsidRPr="008228C8">
        <w:rPr>
          <w:rFonts w:ascii="FrankRuehl" w:eastAsia="Calibri" w:hAnsi="FrankRuehl" w:cs="FrankRuehl"/>
          <w:sz w:val="28"/>
          <w:szCs w:val="28"/>
          <w:rtl/>
        </w:rPr>
        <w:t xml:space="preserve"> בדיעבד הבין את חוסר האחריות שבמעשיו. דא עקא, גיליון הרישום הפלילי של הנאשם (עת/1) מלמד </w:t>
      </w:r>
      <w:r w:rsidR="00A92287">
        <w:rPr>
          <w:rFonts w:ascii="FrankRuehl" w:eastAsia="Calibri" w:hAnsi="FrankRuehl" w:cs="FrankRuehl" w:hint="cs"/>
          <w:sz w:val="28"/>
          <w:szCs w:val="28"/>
          <w:rtl/>
        </w:rPr>
        <w:t xml:space="preserve">אחרת. עסקינן </w:t>
      </w:r>
      <w:r w:rsidRPr="008228C8">
        <w:rPr>
          <w:rFonts w:ascii="FrankRuehl" w:eastAsia="Calibri" w:hAnsi="FrankRuehl" w:cs="FrankRuehl"/>
          <w:sz w:val="28"/>
          <w:szCs w:val="28"/>
          <w:rtl/>
        </w:rPr>
        <w:t xml:space="preserve">בעבריין חוזר שלא למד את לקחו, חרף הזדמנויות שניתנו לו, </w:t>
      </w:r>
      <w:r w:rsidR="00A92287">
        <w:rPr>
          <w:rFonts w:ascii="FrankRuehl" w:eastAsia="Calibri" w:hAnsi="FrankRuehl" w:cs="FrankRuehl" w:hint="cs"/>
          <w:sz w:val="28"/>
          <w:szCs w:val="28"/>
          <w:rtl/>
        </w:rPr>
        <w:t xml:space="preserve">לרבות </w:t>
      </w:r>
      <w:r w:rsidRPr="008228C8">
        <w:rPr>
          <w:rFonts w:ascii="FrankRuehl" w:eastAsia="Calibri" w:hAnsi="FrankRuehl" w:cs="FrankRuehl"/>
          <w:sz w:val="28"/>
          <w:szCs w:val="28"/>
          <w:rtl/>
        </w:rPr>
        <w:t xml:space="preserve">תהליך </w:t>
      </w:r>
      <w:r w:rsidRPr="008228C8">
        <w:rPr>
          <w:rFonts w:ascii="FrankRuehl" w:eastAsia="Calibri" w:hAnsi="FrankRuehl" w:cs="FrankRuehl"/>
          <w:sz w:val="28"/>
          <w:szCs w:val="28"/>
          <w:rtl/>
        </w:rPr>
        <w:lastRenderedPageBreak/>
        <w:t xml:space="preserve">טיפולי </w:t>
      </w:r>
      <w:r w:rsidR="00A92287">
        <w:rPr>
          <w:rFonts w:ascii="FrankRuehl" w:eastAsia="Calibri" w:hAnsi="FrankRuehl" w:cs="FrankRuehl" w:hint="cs"/>
          <w:sz w:val="28"/>
          <w:szCs w:val="28"/>
          <w:rtl/>
        </w:rPr>
        <w:t>בו השתתף ועונשים מקלים בהם זכה</w:t>
      </w:r>
      <w:r w:rsidRPr="008228C8">
        <w:rPr>
          <w:rFonts w:ascii="FrankRuehl" w:eastAsia="Calibri" w:hAnsi="FrankRuehl" w:cs="FrankRuehl"/>
          <w:sz w:val="28"/>
          <w:szCs w:val="28"/>
          <w:rtl/>
        </w:rPr>
        <w:t>. בשנת 2013 הורשע בעבירות סחר בסמים/הספקת סמים, ונדון לצו של"צ בצד צו מבחן למשך 18 חודשים והתחייבות כספית.</w:t>
      </w:r>
      <w:r w:rsidR="00A92287">
        <w:rPr>
          <w:rFonts w:ascii="FrankRuehl" w:eastAsia="Calibri" w:hAnsi="FrankRuehl" w:cs="FrankRuehl" w:hint="cs"/>
          <w:sz w:val="28"/>
          <w:szCs w:val="28"/>
          <w:rtl/>
        </w:rPr>
        <w:t xml:space="preserve"> תקופת טיפול כה משמעותית אמורה הייתה להותיר את חותמה בנאשם, ולהסיט את חייו למסלול נורמטיבי. למרבה הצער, הוא לא שינה מדרכיו.</w:t>
      </w:r>
      <w:r w:rsidRPr="008228C8">
        <w:rPr>
          <w:rFonts w:ascii="FrankRuehl" w:eastAsia="Calibri" w:hAnsi="FrankRuehl" w:cs="FrankRuehl"/>
          <w:sz w:val="28"/>
          <w:szCs w:val="28"/>
          <w:rtl/>
        </w:rPr>
        <w:t xml:space="preserve"> בשנת 2021 הורשע פעם נוספת בעבירות על פקודת הסמים – החזקת סמים שלא לצריכה עצמית והחזקת כלים להכנת סם שלא לצריכה עצמית (עת/2). גם </w:t>
      </w:r>
      <w:r w:rsidR="00DB617B">
        <w:rPr>
          <w:rFonts w:ascii="FrankRuehl" w:eastAsia="Calibri" w:hAnsi="FrankRuehl" w:cs="FrankRuehl" w:hint="cs"/>
          <w:sz w:val="28"/>
          <w:szCs w:val="28"/>
          <w:rtl/>
        </w:rPr>
        <w:t xml:space="preserve">במקרה זה </w:t>
      </w:r>
      <w:r w:rsidRPr="008228C8">
        <w:rPr>
          <w:rFonts w:ascii="FrankRuehl" w:eastAsia="Calibri" w:hAnsi="FrankRuehl" w:cs="FrankRuehl"/>
          <w:sz w:val="28"/>
          <w:szCs w:val="28"/>
          <w:rtl/>
        </w:rPr>
        <w:t>נדון בהסכמה לעונש מקל</w:t>
      </w:r>
      <w:r w:rsidR="00A92287">
        <w:rPr>
          <w:rFonts w:ascii="FrankRuehl" w:eastAsia="Calibri" w:hAnsi="FrankRuehl" w:cs="FrankRuehl" w:hint="cs"/>
          <w:sz w:val="28"/>
          <w:szCs w:val="28"/>
          <w:rtl/>
        </w:rPr>
        <w:t>,</w:t>
      </w:r>
      <w:r w:rsidRPr="008228C8">
        <w:rPr>
          <w:rFonts w:ascii="FrankRuehl" w:eastAsia="Calibri" w:hAnsi="FrankRuehl" w:cs="FrankRuehl"/>
          <w:sz w:val="28"/>
          <w:szCs w:val="28"/>
          <w:rtl/>
        </w:rPr>
        <w:t xml:space="preserve"> בעיקר בשל קשיים ראייתיים. ניתן היה לצפות כי </w:t>
      </w:r>
      <w:r w:rsidR="00A92287">
        <w:rPr>
          <w:rFonts w:ascii="FrankRuehl" w:eastAsia="Calibri" w:hAnsi="FrankRuehl" w:cs="FrankRuehl" w:hint="cs"/>
          <w:sz w:val="28"/>
          <w:szCs w:val="28"/>
          <w:rtl/>
        </w:rPr>
        <w:t xml:space="preserve">זו הפעם </w:t>
      </w:r>
      <w:r w:rsidRPr="008228C8">
        <w:rPr>
          <w:rFonts w:ascii="FrankRuehl" w:eastAsia="Calibri" w:hAnsi="FrankRuehl" w:cs="FrankRuehl"/>
          <w:sz w:val="28"/>
          <w:szCs w:val="28"/>
          <w:rtl/>
        </w:rPr>
        <w:t xml:space="preserve">יכיר </w:t>
      </w:r>
      <w:r w:rsidR="00A92287">
        <w:rPr>
          <w:rFonts w:ascii="FrankRuehl" w:eastAsia="Calibri" w:hAnsi="FrankRuehl" w:cs="FrankRuehl" w:hint="cs"/>
          <w:sz w:val="28"/>
          <w:szCs w:val="28"/>
          <w:rtl/>
        </w:rPr>
        <w:t xml:space="preserve">הנאשם </w:t>
      </w:r>
      <w:r w:rsidRPr="008228C8">
        <w:rPr>
          <w:rFonts w:ascii="FrankRuehl" w:eastAsia="Calibri" w:hAnsi="FrankRuehl" w:cs="FrankRuehl"/>
          <w:sz w:val="28"/>
          <w:szCs w:val="28"/>
          <w:rtl/>
        </w:rPr>
        <w:t xml:space="preserve">בחומרת מעשיו, </w:t>
      </w:r>
      <w:r w:rsidR="00A92287">
        <w:rPr>
          <w:rFonts w:ascii="FrankRuehl" w:eastAsia="Calibri" w:hAnsi="FrankRuehl" w:cs="FrankRuehl" w:hint="cs"/>
          <w:sz w:val="28"/>
          <w:szCs w:val="28"/>
          <w:rtl/>
        </w:rPr>
        <w:t xml:space="preserve">ויימנע </w:t>
      </w:r>
      <w:r w:rsidRPr="008228C8">
        <w:rPr>
          <w:rFonts w:ascii="FrankRuehl" w:eastAsia="Calibri" w:hAnsi="FrankRuehl" w:cs="FrankRuehl"/>
          <w:sz w:val="28"/>
          <w:szCs w:val="28"/>
          <w:rtl/>
        </w:rPr>
        <w:t xml:space="preserve">מלעבור פעם נוספת על החוק. </w:t>
      </w:r>
      <w:r w:rsidR="00A92287">
        <w:rPr>
          <w:rFonts w:ascii="FrankRuehl" w:eastAsia="Calibri" w:hAnsi="FrankRuehl" w:cs="FrankRuehl" w:hint="cs"/>
          <w:sz w:val="28"/>
          <w:szCs w:val="28"/>
          <w:rtl/>
        </w:rPr>
        <w:t xml:space="preserve">ציפיות לחוד ומעשים </w:t>
      </w:r>
      <w:r w:rsidR="0002011D">
        <w:rPr>
          <w:rFonts w:ascii="FrankRuehl" w:eastAsia="Calibri" w:hAnsi="FrankRuehl" w:cs="FrankRuehl" w:hint="cs"/>
          <w:sz w:val="28"/>
          <w:szCs w:val="28"/>
          <w:rtl/>
        </w:rPr>
        <w:t xml:space="preserve">לחוד. הנאשם </w:t>
      </w:r>
      <w:r w:rsidRPr="008228C8">
        <w:rPr>
          <w:rFonts w:ascii="FrankRuehl" w:eastAsia="Calibri" w:hAnsi="FrankRuehl" w:cs="FrankRuehl"/>
          <w:sz w:val="28"/>
          <w:szCs w:val="28"/>
          <w:rtl/>
        </w:rPr>
        <w:t>הפנים בעיקר את הרווח הטמון</w:t>
      </w:r>
      <w:r w:rsidR="0002011D">
        <w:rPr>
          <w:rFonts w:ascii="FrankRuehl" w:eastAsia="Calibri" w:hAnsi="FrankRuehl" w:cs="FrankRuehl" w:hint="cs"/>
          <w:sz w:val="28"/>
          <w:szCs w:val="28"/>
          <w:rtl/>
        </w:rPr>
        <w:t>, כך נראה,</w:t>
      </w:r>
      <w:r w:rsidRPr="008228C8">
        <w:rPr>
          <w:rFonts w:ascii="FrankRuehl" w:eastAsia="Calibri" w:hAnsi="FrankRuehl" w:cs="FrankRuehl"/>
          <w:sz w:val="28"/>
          <w:szCs w:val="28"/>
          <w:rtl/>
        </w:rPr>
        <w:t xml:space="preserve"> בעבירות הסמים למיניהן. חלפו חודשים אחדים והוא נמצא מבצע עבירות חמורות יותר, לאורך תקופה ממושכת.</w:t>
      </w:r>
    </w:p>
    <w:p w:rsidR="008228C8" w:rsidRPr="008228C8" w:rsidRDefault="008228C8" w:rsidP="008228C8">
      <w:pPr>
        <w:spacing w:line="360" w:lineRule="auto"/>
        <w:jc w:val="both"/>
        <w:rPr>
          <w:rFonts w:ascii="FrankRuehl" w:eastAsia="Calibri" w:hAnsi="FrankRuehl" w:cs="FrankRuehl"/>
          <w:sz w:val="28"/>
          <w:szCs w:val="28"/>
          <w:rtl/>
        </w:rPr>
      </w:pPr>
    </w:p>
    <w:p w:rsidR="008228C8" w:rsidRPr="008228C8" w:rsidRDefault="008228C8" w:rsidP="009E49FF">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ab/>
        <w:t xml:space="preserve">הודייתו של הנאשם 2 במיוחס לו, נזקפת כמובן לזכותו, וכפועל יוצא מכך הבעת חרטה וחיסכון בזמן שיפוטי. גם שיתוף הפעולה עם שירות המבחן נשקל לטובתו, ואף האופן בו עקר את מקום מגוריו לצפון הארץ, </w:t>
      </w:r>
      <w:r w:rsidR="00B61B8F">
        <w:rPr>
          <w:rFonts w:ascii="FrankRuehl" w:eastAsia="Calibri" w:hAnsi="FrankRuehl" w:cs="FrankRuehl" w:hint="cs"/>
          <w:sz w:val="28"/>
          <w:szCs w:val="28"/>
          <w:rtl/>
        </w:rPr>
        <w:t xml:space="preserve">תוך </w:t>
      </w:r>
      <w:r w:rsidRPr="008228C8">
        <w:rPr>
          <w:rFonts w:ascii="FrankRuehl" w:eastAsia="Calibri" w:hAnsi="FrankRuehl" w:cs="FrankRuehl"/>
          <w:sz w:val="28"/>
          <w:szCs w:val="28"/>
          <w:rtl/>
        </w:rPr>
        <w:t>התרחקות</w:t>
      </w:r>
      <w:r w:rsidR="00B61B8F">
        <w:rPr>
          <w:rFonts w:ascii="FrankRuehl" w:eastAsia="Calibri" w:hAnsi="FrankRuehl" w:cs="FrankRuehl" w:hint="cs"/>
          <w:sz w:val="28"/>
          <w:szCs w:val="28"/>
          <w:rtl/>
        </w:rPr>
        <w:t xml:space="preserve"> מזירת הפשע.</w:t>
      </w:r>
      <w:r w:rsidR="00B61B8F" w:rsidRPr="008228C8">
        <w:rPr>
          <w:rFonts w:ascii="FrankRuehl" w:eastAsia="Calibri" w:hAnsi="FrankRuehl" w:cs="FrankRuehl"/>
          <w:sz w:val="28"/>
          <w:szCs w:val="28"/>
          <w:rtl/>
        </w:rPr>
        <w:t xml:space="preserve"> </w:t>
      </w:r>
      <w:r w:rsidRPr="008228C8">
        <w:rPr>
          <w:rFonts w:ascii="FrankRuehl" w:eastAsia="Calibri" w:hAnsi="FrankRuehl" w:cs="FrankRuehl"/>
          <w:sz w:val="28"/>
          <w:szCs w:val="28"/>
          <w:rtl/>
        </w:rPr>
        <w:t>הוא שיתף פעולה</w:t>
      </w:r>
      <w:r w:rsidR="009E49FF">
        <w:rPr>
          <w:rFonts w:ascii="FrankRuehl" w:eastAsia="Calibri" w:hAnsi="FrankRuehl" w:cs="FrankRuehl" w:hint="cs"/>
          <w:sz w:val="28"/>
          <w:szCs w:val="28"/>
          <w:rtl/>
        </w:rPr>
        <w:t xml:space="preserve"> עם היחידה לטיפול בהתמכרויות במפגשים שבועיים</w:t>
      </w:r>
      <w:r w:rsidRPr="008228C8">
        <w:rPr>
          <w:rFonts w:ascii="FrankRuehl" w:eastAsia="Calibri" w:hAnsi="FrankRuehl" w:cs="FrankRuehl"/>
          <w:sz w:val="28"/>
          <w:szCs w:val="28"/>
          <w:rtl/>
        </w:rPr>
        <w:t xml:space="preserve"> </w:t>
      </w:r>
      <w:r w:rsidR="00B61B8F">
        <w:rPr>
          <w:rFonts w:ascii="FrankRuehl" w:eastAsia="Calibri" w:hAnsi="FrankRuehl" w:cs="FrankRuehl" w:hint="cs"/>
          <w:sz w:val="28"/>
          <w:szCs w:val="28"/>
          <w:rtl/>
        </w:rPr>
        <w:t xml:space="preserve">במשך </w:t>
      </w:r>
      <w:r w:rsidRPr="008228C8">
        <w:rPr>
          <w:rFonts w:ascii="FrankRuehl" w:eastAsia="Calibri" w:hAnsi="FrankRuehl" w:cs="FrankRuehl"/>
          <w:sz w:val="28"/>
          <w:szCs w:val="28"/>
          <w:rtl/>
        </w:rPr>
        <w:t>כמחצית השנה</w:t>
      </w:r>
      <w:r w:rsidR="00B61B8F">
        <w:rPr>
          <w:rFonts w:ascii="FrankRuehl" w:eastAsia="Calibri" w:hAnsi="FrankRuehl" w:cs="FrankRuehl" w:hint="cs"/>
          <w:sz w:val="28"/>
          <w:szCs w:val="28"/>
          <w:rtl/>
        </w:rPr>
        <w:t>, ונתן בדיקות שתן נקיות</w:t>
      </w:r>
      <w:r w:rsidRPr="008228C8">
        <w:rPr>
          <w:rFonts w:ascii="FrankRuehl" w:eastAsia="Calibri" w:hAnsi="FrankRuehl" w:cs="FrankRuehl"/>
          <w:sz w:val="28"/>
          <w:szCs w:val="28"/>
          <w:rtl/>
        </w:rPr>
        <w:t xml:space="preserve">. אין בכך די, לבטח בהתחשב בהליך טיפולי </w:t>
      </w:r>
      <w:r w:rsidR="00B61B8F">
        <w:rPr>
          <w:rFonts w:ascii="FrankRuehl" w:eastAsia="Calibri" w:hAnsi="FrankRuehl" w:cs="FrankRuehl" w:hint="cs"/>
          <w:sz w:val="28"/>
          <w:szCs w:val="28"/>
          <w:rtl/>
        </w:rPr>
        <w:t>ממושך</w:t>
      </w:r>
      <w:r w:rsidRPr="008228C8">
        <w:rPr>
          <w:rFonts w:ascii="FrankRuehl" w:eastAsia="Calibri" w:hAnsi="FrankRuehl" w:cs="FrankRuehl"/>
          <w:sz w:val="28"/>
          <w:szCs w:val="28"/>
          <w:rtl/>
        </w:rPr>
        <w:t xml:space="preserve"> שעבר הנאשם</w:t>
      </w:r>
      <w:r w:rsidR="00B61B8F">
        <w:rPr>
          <w:rFonts w:ascii="FrankRuehl" w:eastAsia="Calibri" w:hAnsi="FrankRuehl" w:cs="FrankRuehl" w:hint="cs"/>
          <w:sz w:val="28"/>
          <w:szCs w:val="28"/>
          <w:rtl/>
        </w:rPr>
        <w:t xml:space="preserve"> בהרשעתו הראשונה</w:t>
      </w:r>
      <w:r w:rsidRPr="008228C8">
        <w:rPr>
          <w:rFonts w:ascii="FrankRuehl" w:eastAsia="Calibri" w:hAnsi="FrankRuehl" w:cs="FrankRuehl"/>
          <w:sz w:val="28"/>
          <w:szCs w:val="28"/>
          <w:rtl/>
        </w:rPr>
        <w:t>, ובהזדמנויות שניתנו לו. הנאשם גילה על עצמו בהתנהגותו, כי מורא החוק אינו חל עליו, ואפילו עונש מאסר על-תנאי לא מנע ממנו מלבצע את העבירות בהליך דנן. לקחתי בחשבון את העובדה שמעולם לא ריצה עונש מאסר, וכן את הפגיעה במשפחתו הצעירה ובעסק שהקים בצוותא עם אחיו (</w:t>
      </w:r>
      <w:r w:rsidR="00B61B8F">
        <w:rPr>
          <w:rFonts w:ascii="FrankRuehl" w:eastAsia="Calibri" w:hAnsi="FrankRuehl" w:cs="FrankRuehl" w:hint="cs"/>
          <w:sz w:val="28"/>
          <w:szCs w:val="28"/>
          <w:rtl/>
        </w:rPr>
        <w:t>חרף העובדה ש</w:t>
      </w:r>
      <w:r w:rsidRPr="008228C8">
        <w:rPr>
          <w:rFonts w:ascii="FrankRuehl" w:eastAsia="Calibri" w:hAnsi="FrankRuehl" w:cs="FrankRuehl"/>
          <w:sz w:val="28"/>
          <w:szCs w:val="28"/>
          <w:rtl/>
        </w:rPr>
        <w:t>לא הוגשו מסמכים), אך אין באלו כדי להצדיק הימנעות מהשתת עונש מ</w:t>
      </w:r>
      <w:r w:rsidR="00B61B8F">
        <w:rPr>
          <w:rFonts w:ascii="FrankRuehl" w:eastAsia="Calibri" w:hAnsi="FrankRuehl" w:cs="FrankRuehl"/>
          <w:sz w:val="28"/>
          <w:szCs w:val="28"/>
          <w:rtl/>
        </w:rPr>
        <w:t>אסר מוחשי שיהלום את חומרת מעשיו</w:t>
      </w:r>
      <w:r w:rsidR="00B61B8F">
        <w:rPr>
          <w:rFonts w:ascii="FrankRuehl" w:eastAsia="Calibri" w:hAnsi="FrankRuehl" w:cs="FrankRuehl" w:hint="cs"/>
          <w:sz w:val="28"/>
          <w:szCs w:val="28"/>
          <w:rtl/>
        </w:rPr>
        <w:t>. לבטח אין הצדקה</w:t>
      </w:r>
      <w:r w:rsidRPr="008228C8">
        <w:rPr>
          <w:rFonts w:ascii="FrankRuehl" w:eastAsia="Calibri" w:hAnsi="FrankRuehl" w:cs="FrankRuehl"/>
          <w:sz w:val="28"/>
          <w:szCs w:val="28"/>
          <w:rtl/>
        </w:rPr>
        <w:t xml:space="preserve"> לחרוג לקולה מהמתחם. בנסיבות אלה מצאתי לגזור את עונשו של הנאשם מעט מעל תחתית המתחם, ולהפעיל את המאסר על-תנאי במצטבר. אבהיר כי התחשבתי בפרק הזמן בו היה הנאשם נתון במעצר ממש, וכן בתקופת המעצר בפיקוח אלקטרוני.</w:t>
      </w:r>
    </w:p>
    <w:p w:rsidR="00CC41EB" w:rsidRDefault="00CC41EB" w:rsidP="008228C8">
      <w:pPr>
        <w:spacing w:line="360" w:lineRule="auto"/>
        <w:jc w:val="both"/>
        <w:rPr>
          <w:rFonts w:ascii="FrankRuehl" w:eastAsia="Calibri" w:hAnsi="FrankRuehl" w:cs="FrankRuehl"/>
          <w:sz w:val="28"/>
          <w:szCs w:val="28"/>
          <w:rtl/>
        </w:rPr>
      </w:pPr>
    </w:p>
    <w:p w:rsidR="00B61B8F" w:rsidRPr="00981BF8" w:rsidRDefault="00B61B8F" w:rsidP="008228C8">
      <w:pPr>
        <w:spacing w:line="360" w:lineRule="auto"/>
        <w:jc w:val="both"/>
        <w:rPr>
          <w:rFonts w:ascii="FrankRuehl" w:eastAsia="Calibri" w:hAnsi="FrankRuehl" w:cs="Miriam"/>
          <w:b/>
          <w:sz w:val="28"/>
          <w:rtl/>
        </w:rPr>
      </w:pPr>
      <w:r w:rsidRPr="00981BF8">
        <w:rPr>
          <w:rFonts w:ascii="FrankRuehl" w:eastAsia="Calibri" w:hAnsi="FrankRuehl" w:cs="Miriam" w:hint="cs"/>
          <w:b/>
          <w:sz w:val="28"/>
          <w:rtl/>
        </w:rPr>
        <w:t>תוצאה</w:t>
      </w:r>
    </w:p>
    <w:p w:rsidR="00B61B8F" w:rsidRPr="00981BF8" w:rsidRDefault="00B61B8F" w:rsidP="008228C8">
      <w:pPr>
        <w:spacing w:line="360" w:lineRule="auto"/>
        <w:jc w:val="both"/>
        <w:rPr>
          <w:rFonts w:ascii="FrankRuehl" w:eastAsia="Calibri" w:hAnsi="FrankRuehl" w:cs="Miriam"/>
          <w:b/>
          <w:sz w:val="28"/>
          <w:rtl/>
        </w:rPr>
      </w:pPr>
    </w:p>
    <w:p w:rsidR="008228C8" w:rsidRPr="008228C8" w:rsidRDefault="008228C8" w:rsidP="008228C8">
      <w:pPr>
        <w:spacing w:line="360" w:lineRule="auto"/>
        <w:jc w:val="both"/>
        <w:rPr>
          <w:rFonts w:ascii="FrankRuehl" w:eastAsia="Calibri" w:hAnsi="FrankRuehl" w:cs="FrankRuehl"/>
          <w:sz w:val="28"/>
          <w:szCs w:val="28"/>
          <w:rtl/>
        </w:rPr>
      </w:pPr>
      <w:r w:rsidRPr="008228C8">
        <w:rPr>
          <w:rFonts w:ascii="FrankRuehl" w:eastAsia="Calibri" w:hAnsi="FrankRuehl" w:cs="FrankRuehl"/>
          <w:sz w:val="28"/>
          <w:szCs w:val="28"/>
          <w:rtl/>
        </w:rPr>
        <w:t>18.</w:t>
      </w:r>
      <w:r w:rsidRPr="008228C8">
        <w:rPr>
          <w:rFonts w:ascii="FrankRuehl" w:eastAsia="Calibri" w:hAnsi="FrankRuehl" w:cs="FrankRuehl"/>
          <w:sz w:val="28"/>
          <w:szCs w:val="28"/>
          <w:rtl/>
        </w:rPr>
        <w:tab/>
        <w:t>בהתחשב בשיקולים עליהם עמדתי, החלטתי לגזור על הנאשמים את העונשים הבאים:</w:t>
      </w:r>
    </w:p>
    <w:p w:rsidR="008228C8" w:rsidRPr="008228C8" w:rsidRDefault="008228C8" w:rsidP="008228C8">
      <w:pPr>
        <w:spacing w:line="360" w:lineRule="auto"/>
        <w:ind w:firstLine="720"/>
        <w:jc w:val="both"/>
        <w:rPr>
          <w:rFonts w:ascii="FrankRuehl" w:eastAsia="Calibri" w:hAnsi="FrankRuehl" w:cs="Miriam"/>
          <w:b/>
          <w:sz w:val="28"/>
          <w:rtl/>
        </w:rPr>
      </w:pPr>
    </w:p>
    <w:p w:rsidR="008228C8" w:rsidRPr="008228C8" w:rsidRDefault="008228C8" w:rsidP="008228C8">
      <w:pPr>
        <w:spacing w:line="360" w:lineRule="auto"/>
        <w:ind w:firstLine="720"/>
        <w:jc w:val="both"/>
        <w:rPr>
          <w:rFonts w:ascii="FrankRuehl" w:eastAsia="Calibri" w:hAnsi="FrankRuehl" w:cs="Miriam"/>
          <w:b/>
          <w:sz w:val="28"/>
          <w:rtl/>
        </w:rPr>
      </w:pPr>
      <w:r w:rsidRPr="008228C8">
        <w:rPr>
          <w:rFonts w:ascii="FrankRuehl" w:eastAsia="Calibri" w:hAnsi="FrankRuehl" w:cs="Miriam"/>
          <w:b/>
          <w:sz w:val="28"/>
          <w:rtl/>
        </w:rPr>
        <w:t>נאשם 1:</w:t>
      </w:r>
    </w:p>
    <w:p w:rsidR="008228C8" w:rsidRPr="008228C8" w:rsidRDefault="008228C8" w:rsidP="008228C8">
      <w:pPr>
        <w:spacing w:line="360" w:lineRule="auto"/>
        <w:ind w:left="1440" w:hanging="720"/>
        <w:jc w:val="both"/>
        <w:rPr>
          <w:rFonts w:ascii="FrankRuehl" w:hAnsi="FrankRuehl" w:cs="FrankRuehl"/>
          <w:sz w:val="28"/>
          <w:szCs w:val="28"/>
          <w:rtl/>
        </w:rPr>
      </w:pPr>
      <w:r w:rsidRPr="008228C8">
        <w:rPr>
          <w:rFonts w:ascii="FrankRuehl" w:hAnsi="FrankRuehl" w:cs="FrankRuehl"/>
          <w:sz w:val="28"/>
          <w:szCs w:val="28"/>
          <w:rtl/>
        </w:rPr>
        <w:t>א.</w:t>
      </w:r>
      <w:r w:rsidRPr="008228C8">
        <w:rPr>
          <w:rFonts w:ascii="FrankRuehl" w:hAnsi="FrankRuehl" w:cs="FrankRuehl"/>
          <w:sz w:val="28"/>
          <w:szCs w:val="28"/>
          <w:rtl/>
        </w:rPr>
        <w:tab/>
        <w:t>32 חודשי מאסר בפועל, בניכוי ימי מעצרו מיום 3.5.22 עד 13.5.22.</w:t>
      </w:r>
    </w:p>
    <w:p w:rsidR="008228C8" w:rsidRPr="008228C8" w:rsidRDefault="008228C8" w:rsidP="008228C8">
      <w:pPr>
        <w:spacing w:line="360" w:lineRule="auto"/>
        <w:ind w:left="1440" w:hanging="720"/>
        <w:jc w:val="both"/>
        <w:rPr>
          <w:rFonts w:ascii="FrankRuehl" w:hAnsi="FrankRuehl" w:cs="FrankRuehl"/>
          <w:sz w:val="28"/>
          <w:szCs w:val="28"/>
          <w:rtl/>
        </w:rPr>
      </w:pPr>
      <w:r w:rsidRPr="008228C8">
        <w:rPr>
          <w:rFonts w:ascii="FrankRuehl" w:hAnsi="FrankRuehl" w:cs="FrankRuehl"/>
          <w:sz w:val="28"/>
          <w:szCs w:val="28"/>
          <w:rtl/>
        </w:rPr>
        <w:t>ב.</w:t>
      </w:r>
      <w:r w:rsidRPr="008228C8">
        <w:rPr>
          <w:rFonts w:ascii="FrankRuehl" w:hAnsi="FrankRuehl" w:cs="FrankRuehl"/>
          <w:sz w:val="28"/>
          <w:szCs w:val="28"/>
          <w:rtl/>
        </w:rPr>
        <w:tab/>
        <w:t>6 חודשי מאסר אותם לא ירצה הנאשם אלא אם יעבור תוך שלוש שנים עבירה על פקודת הסמים "מסוג פשע".</w:t>
      </w:r>
    </w:p>
    <w:p w:rsidR="008228C8" w:rsidRPr="008228C8" w:rsidRDefault="008228C8" w:rsidP="008228C8">
      <w:pPr>
        <w:spacing w:line="360" w:lineRule="auto"/>
        <w:ind w:left="1440" w:hanging="720"/>
        <w:jc w:val="both"/>
        <w:rPr>
          <w:rFonts w:ascii="FrankRuehl" w:hAnsi="FrankRuehl" w:cs="FrankRuehl"/>
          <w:sz w:val="28"/>
          <w:szCs w:val="28"/>
          <w:rtl/>
        </w:rPr>
      </w:pPr>
      <w:r w:rsidRPr="008228C8">
        <w:rPr>
          <w:rFonts w:ascii="FrankRuehl" w:hAnsi="FrankRuehl" w:cs="FrankRuehl"/>
          <w:sz w:val="28"/>
          <w:szCs w:val="28"/>
          <w:rtl/>
        </w:rPr>
        <w:lastRenderedPageBreak/>
        <w:t>ג.</w:t>
      </w:r>
      <w:r w:rsidRPr="008228C8">
        <w:rPr>
          <w:rFonts w:ascii="FrankRuehl" w:hAnsi="FrankRuehl" w:cs="FrankRuehl"/>
          <w:sz w:val="28"/>
          <w:szCs w:val="28"/>
          <w:rtl/>
        </w:rPr>
        <w:tab/>
        <w:t>קנס בסך 10,000 ₪ או 2 חודשי מאסר תמורתו. הקנס ישולם ב-10 תשלומים חודשיים שווים ורצופים, החל מיום 10.6.24 ובכל 10 בחודש שלאחריו. לא ישולם איזה מהתשלומים במועדו, תעמוד יתרת הקנס לפירעון מידי.</w:t>
      </w:r>
    </w:p>
    <w:p w:rsidR="008228C8" w:rsidRPr="008228C8" w:rsidRDefault="008228C8" w:rsidP="008228C8">
      <w:pPr>
        <w:spacing w:line="360" w:lineRule="auto"/>
        <w:ind w:left="1440" w:hanging="720"/>
        <w:jc w:val="both"/>
        <w:rPr>
          <w:rFonts w:ascii="FrankRuehl" w:hAnsi="FrankRuehl" w:cs="FrankRuehl"/>
          <w:sz w:val="28"/>
          <w:szCs w:val="28"/>
          <w:rtl/>
        </w:rPr>
      </w:pPr>
      <w:r w:rsidRPr="008228C8">
        <w:rPr>
          <w:rFonts w:ascii="FrankRuehl" w:hAnsi="FrankRuehl" w:cs="FrankRuehl"/>
          <w:sz w:val="28"/>
          <w:szCs w:val="28"/>
          <w:rtl/>
        </w:rPr>
        <w:t>ד.</w:t>
      </w:r>
      <w:r w:rsidRPr="008228C8">
        <w:rPr>
          <w:rFonts w:ascii="FrankRuehl" w:hAnsi="FrankRuehl" w:cs="FrankRuehl"/>
          <w:sz w:val="28"/>
          <w:szCs w:val="28"/>
          <w:rtl/>
        </w:rPr>
        <w:tab/>
        <w:t>הנאשם ייפסל מלקבל ומלהחזיק רישיון נהיגה לתקופה של 4 חודשים, ואולם הנאשם לא יישא בעונש זה אלא אם יעבור תוך 3 שנים ממועד שחרורו ממאסר עבירה על פקודת הסמים.</w:t>
      </w:r>
    </w:p>
    <w:p w:rsidR="008228C8" w:rsidRPr="008228C8" w:rsidRDefault="008228C8" w:rsidP="008228C8">
      <w:pPr>
        <w:spacing w:line="360" w:lineRule="auto"/>
        <w:ind w:left="1440" w:hanging="720"/>
        <w:jc w:val="both"/>
        <w:rPr>
          <w:rFonts w:ascii="FrankRuehl" w:hAnsi="FrankRuehl" w:cs="FrankRuehl"/>
          <w:sz w:val="28"/>
          <w:szCs w:val="28"/>
          <w:rtl/>
        </w:rPr>
      </w:pPr>
      <w:r w:rsidRPr="008228C8">
        <w:rPr>
          <w:rFonts w:ascii="FrankRuehl" w:hAnsi="FrankRuehl" w:cs="FrankRuehl"/>
          <w:sz w:val="28"/>
          <w:szCs w:val="28"/>
          <w:rtl/>
        </w:rPr>
        <w:t>ה.</w:t>
      </w:r>
      <w:r w:rsidRPr="008228C8">
        <w:rPr>
          <w:rFonts w:ascii="FrankRuehl" w:hAnsi="FrankRuehl" w:cs="FrankRuehl"/>
          <w:sz w:val="28"/>
          <w:szCs w:val="28"/>
          <w:rtl/>
        </w:rPr>
        <w:tab/>
        <w:t>אני מכריז על הנאשם כסוחר סמים, ומורה על חילוט סך של 17,820 ₪ ומכשיר טלפון שנתפסו ממנו.</w:t>
      </w:r>
    </w:p>
    <w:p w:rsidR="008228C8" w:rsidRPr="008228C8" w:rsidRDefault="008228C8" w:rsidP="008228C8">
      <w:pPr>
        <w:spacing w:line="360" w:lineRule="auto"/>
        <w:ind w:left="1440" w:hanging="720"/>
        <w:jc w:val="both"/>
        <w:rPr>
          <w:rFonts w:ascii="FrankRuehl" w:hAnsi="FrankRuehl" w:cs="FrankRuehl"/>
          <w:sz w:val="28"/>
          <w:szCs w:val="28"/>
          <w:rtl/>
        </w:rPr>
      </w:pPr>
    </w:p>
    <w:p w:rsidR="008228C8" w:rsidRPr="008228C8" w:rsidRDefault="008228C8" w:rsidP="008228C8">
      <w:pPr>
        <w:spacing w:line="360" w:lineRule="auto"/>
        <w:ind w:firstLine="720"/>
        <w:jc w:val="both"/>
        <w:rPr>
          <w:rFonts w:ascii="FrankRuehl" w:eastAsia="Calibri" w:hAnsi="FrankRuehl" w:cs="Miriam"/>
          <w:b/>
          <w:sz w:val="28"/>
          <w:rtl/>
        </w:rPr>
      </w:pPr>
      <w:r w:rsidRPr="008228C8">
        <w:rPr>
          <w:rFonts w:ascii="FrankRuehl" w:eastAsia="Calibri" w:hAnsi="FrankRuehl" w:cs="Miriam"/>
          <w:b/>
          <w:sz w:val="28"/>
          <w:rtl/>
        </w:rPr>
        <w:t>נאשם 2:</w:t>
      </w:r>
    </w:p>
    <w:p w:rsidR="008228C8" w:rsidRPr="008228C8" w:rsidRDefault="008228C8" w:rsidP="008228C8">
      <w:pPr>
        <w:spacing w:line="360" w:lineRule="auto"/>
        <w:ind w:left="1440" w:hanging="720"/>
        <w:jc w:val="both"/>
        <w:rPr>
          <w:rFonts w:ascii="FrankRuehl" w:hAnsi="FrankRuehl" w:cs="FrankRuehl"/>
          <w:sz w:val="28"/>
          <w:szCs w:val="28"/>
          <w:rtl/>
        </w:rPr>
      </w:pPr>
      <w:r w:rsidRPr="008228C8">
        <w:rPr>
          <w:rFonts w:ascii="FrankRuehl" w:hAnsi="FrankRuehl" w:cs="FrankRuehl"/>
          <w:sz w:val="28"/>
          <w:szCs w:val="28"/>
          <w:rtl/>
        </w:rPr>
        <w:t>א.</w:t>
      </w:r>
      <w:r w:rsidRPr="008228C8">
        <w:rPr>
          <w:rFonts w:ascii="FrankRuehl" w:hAnsi="FrankRuehl" w:cs="FrankRuehl"/>
          <w:sz w:val="28"/>
          <w:szCs w:val="28"/>
          <w:rtl/>
        </w:rPr>
        <w:tab/>
        <w:t xml:space="preserve">20 חודשי מאסר בפועל. </w:t>
      </w:r>
    </w:p>
    <w:p w:rsidR="008228C8" w:rsidRPr="008228C8" w:rsidRDefault="008228C8" w:rsidP="008228C8">
      <w:pPr>
        <w:spacing w:line="360" w:lineRule="auto"/>
        <w:ind w:left="1440" w:hanging="720"/>
        <w:jc w:val="both"/>
        <w:rPr>
          <w:rFonts w:ascii="FrankRuehl" w:hAnsi="FrankRuehl" w:cs="FrankRuehl"/>
          <w:sz w:val="28"/>
          <w:szCs w:val="28"/>
          <w:rtl/>
        </w:rPr>
      </w:pPr>
      <w:r w:rsidRPr="008228C8">
        <w:rPr>
          <w:rFonts w:ascii="FrankRuehl" w:hAnsi="FrankRuehl" w:cs="FrankRuehl"/>
          <w:sz w:val="28"/>
          <w:szCs w:val="28"/>
          <w:rtl/>
        </w:rPr>
        <w:tab/>
        <w:t>אני מורה על הפעלת 4 חודשי מאסר מותנה (ת"פ 38367-12-20, גזר דין מיום 9.6.21). המאסר על-תנאי יופעל במצטבר לעונש שנגזר על הנאשם.</w:t>
      </w:r>
    </w:p>
    <w:p w:rsidR="008228C8" w:rsidRPr="008228C8" w:rsidRDefault="008228C8" w:rsidP="008228C8">
      <w:pPr>
        <w:spacing w:line="360" w:lineRule="auto"/>
        <w:ind w:left="1440"/>
        <w:jc w:val="both"/>
        <w:rPr>
          <w:rFonts w:ascii="FrankRuehl" w:hAnsi="FrankRuehl" w:cs="FrankRuehl"/>
          <w:sz w:val="28"/>
          <w:szCs w:val="28"/>
          <w:rtl/>
        </w:rPr>
      </w:pPr>
      <w:r w:rsidRPr="008228C8">
        <w:rPr>
          <w:rFonts w:ascii="FrankRuehl" w:hAnsi="FrankRuehl" w:cs="Miriam"/>
          <w:b/>
          <w:sz w:val="28"/>
          <w:rtl/>
        </w:rPr>
        <w:t>סך הכל ירצה הנאשם עונש מאסר בפועל בן 24 חודשים, בניכוי תקופת מעצרו מיום 8.5.22 עד 12.7.22.</w:t>
      </w:r>
    </w:p>
    <w:p w:rsidR="008228C8" w:rsidRPr="008228C8" w:rsidRDefault="008228C8" w:rsidP="008228C8">
      <w:pPr>
        <w:spacing w:line="360" w:lineRule="auto"/>
        <w:ind w:left="1440" w:hanging="720"/>
        <w:jc w:val="both"/>
        <w:rPr>
          <w:rFonts w:ascii="FrankRuehl" w:hAnsi="FrankRuehl" w:cs="FrankRuehl"/>
          <w:sz w:val="28"/>
          <w:szCs w:val="28"/>
          <w:rtl/>
        </w:rPr>
      </w:pPr>
      <w:r w:rsidRPr="008228C8">
        <w:rPr>
          <w:rFonts w:ascii="FrankRuehl" w:hAnsi="FrankRuehl" w:cs="FrankRuehl"/>
          <w:sz w:val="28"/>
          <w:szCs w:val="28"/>
          <w:rtl/>
        </w:rPr>
        <w:t>ב.</w:t>
      </w:r>
      <w:r w:rsidRPr="008228C8">
        <w:rPr>
          <w:rFonts w:ascii="FrankRuehl" w:hAnsi="FrankRuehl" w:cs="FrankRuehl"/>
          <w:sz w:val="28"/>
          <w:szCs w:val="28"/>
          <w:rtl/>
        </w:rPr>
        <w:tab/>
        <w:t>6 חודשי מאסר אותם לא ירצה הנאשם אלא אם יעבור תוך שלוש שנים עבירה על פקודת הסמים "מסוג פשע".</w:t>
      </w:r>
    </w:p>
    <w:p w:rsidR="008228C8" w:rsidRPr="008228C8" w:rsidRDefault="008228C8" w:rsidP="008228C8">
      <w:pPr>
        <w:spacing w:line="360" w:lineRule="auto"/>
        <w:ind w:left="1440" w:hanging="720"/>
        <w:jc w:val="both"/>
        <w:rPr>
          <w:rFonts w:ascii="FrankRuehl" w:hAnsi="FrankRuehl" w:cs="FrankRuehl"/>
          <w:sz w:val="28"/>
          <w:szCs w:val="28"/>
          <w:rtl/>
        </w:rPr>
      </w:pPr>
      <w:r w:rsidRPr="008228C8">
        <w:rPr>
          <w:rFonts w:ascii="FrankRuehl" w:hAnsi="FrankRuehl" w:cs="FrankRuehl"/>
          <w:sz w:val="28"/>
          <w:szCs w:val="28"/>
          <w:rtl/>
        </w:rPr>
        <w:t>ג.</w:t>
      </w:r>
      <w:r w:rsidRPr="008228C8">
        <w:rPr>
          <w:rFonts w:ascii="FrankRuehl" w:hAnsi="FrankRuehl" w:cs="FrankRuehl"/>
          <w:sz w:val="28"/>
          <w:szCs w:val="28"/>
          <w:rtl/>
        </w:rPr>
        <w:tab/>
        <w:t xml:space="preserve">קנס בסך 6,000 ₪ או 40 ימי מאסר תמורתו. הקנס ישולם ב-6 תשלומים חודשיים שווים ורצופים, החל מיום 10.6.24 ובכל 10 בחודש שלאחריו. לא ישולם איזה מהתשלומים במועדו, תעמוד יתרת הקנס לפירעון מידי. </w:t>
      </w:r>
    </w:p>
    <w:p w:rsidR="008228C8" w:rsidRPr="008228C8" w:rsidRDefault="008228C8" w:rsidP="008228C8">
      <w:pPr>
        <w:spacing w:line="360" w:lineRule="auto"/>
        <w:ind w:left="1440" w:hanging="720"/>
        <w:jc w:val="both"/>
        <w:rPr>
          <w:rFonts w:ascii="FrankRuehl" w:hAnsi="FrankRuehl" w:cs="FrankRuehl"/>
          <w:sz w:val="28"/>
          <w:szCs w:val="28"/>
          <w:rtl/>
        </w:rPr>
      </w:pPr>
      <w:r w:rsidRPr="008228C8">
        <w:rPr>
          <w:rFonts w:ascii="FrankRuehl" w:hAnsi="FrankRuehl" w:cs="FrankRuehl"/>
          <w:sz w:val="28"/>
          <w:szCs w:val="28"/>
          <w:rtl/>
        </w:rPr>
        <w:t xml:space="preserve">ד. </w:t>
      </w:r>
      <w:r w:rsidRPr="008228C8">
        <w:rPr>
          <w:rFonts w:ascii="FrankRuehl" w:hAnsi="FrankRuehl" w:cs="FrankRuehl"/>
          <w:sz w:val="28"/>
          <w:szCs w:val="28"/>
          <w:rtl/>
        </w:rPr>
        <w:tab/>
        <w:t xml:space="preserve">אני מורה על הפעלת פסילת רישיון נהיגה בת 4 חודשים, אשר הוטלה על הנאשם ביום 9.6.21 בת"פ 38367-12-20. הנאשם יפקיד את רישיון הנהיגה שלו במזכירות בית המשפט. הפסילה תחל מיום 6.6.24, ותימנה במצטבר לכל פסילה אחרת שטרם סיים לרצות. מוסבר לנאשם שהוא חייב להפקיד את רישיונו במזכירות בית המשפט. לא יופקד הרישיון, תחל הפסילה במועד שנקבע לעיל, אך לא תימנה  כל עוד לא יופקד הרישיון ולכן לא תסתיים. </w:t>
      </w:r>
    </w:p>
    <w:p w:rsidR="008228C8" w:rsidRPr="008228C8" w:rsidRDefault="008228C8" w:rsidP="008228C8">
      <w:pPr>
        <w:spacing w:line="360" w:lineRule="auto"/>
        <w:ind w:left="1440" w:hanging="720"/>
        <w:jc w:val="both"/>
        <w:rPr>
          <w:rFonts w:ascii="FrankRuehl" w:hAnsi="FrankRuehl" w:cs="FrankRuehl"/>
          <w:sz w:val="28"/>
          <w:szCs w:val="28"/>
          <w:rtl/>
        </w:rPr>
      </w:pPr>
      <w:r w:rsidRPr="008228C8">
        <w:rPr>
          <w:rFonts w:ascii="FrankRuehl" w:hAnsi="FrankRuehl" w:cs="FrankRuehl"/>
          <w:sz w:val="28"/>
          <w:szCs w:val="28"/>
          <w:rtl/>
        </w:rPr>
        <w:t>ה.</w:t>
      </w:r>
      <w:r w:rsidRPr="008228C8">
        <w:rPr>
          <w:rFonts w:ascii="FrankRuehl" w:hAnsi="FrankRuehl" w:cs="FrankRuehl"/>
          <w:sz w:val="28"/>
          <w:szCs w:val="28"/>
          <w:rtl/>
        </w:rPr>
        <w:tab/>
        <w:t>הנאשם ייפסל מלקבל ומלהחזיק רישיון נהיגה לתקופה של 4 חודשים, ואולם הנאשם לא יישא בעונש זה אלא אם יעבור תוך 3 שנים ממועד שחרורו ממאסר עבירה על פקודת הסמים.</w:t>
      </w:r>
    </w:p>
    <w:p w:rsidR="008228C8" w:rsidRPr="008228C8" w:rsidRDefault="008228C8" w:rsidP="008228C8">
      <w:pPr>
        <w:spacing w:line="360" w:lineRule="auto"/>
        <w:ind w:left="1440" w:hanging="720"/>
        <w:jc w:val="both"/>
        <w:rPr>
          <w:rFonts w:ascii="FrankRuehl" w:hAnsi="FrankRuehl" w:cs="FrankRuehl"/>
          <w:sz w:val="28"/>
          <w:szCs w:val="28"/>
          <w:rtl/>
        </w:rPr>
      </w:pPr>
      <w:r w:rsidRPr="008228C8">
        <w:rPr>
          <w:rFonts w:ascii="FrankRuehl" w:hAnsi="FrankRuehl" w:cs="FrankRuehl"/>
          <w:sz w:val="28"/>
          <w:szCs w:val="28"/>
          <w:rtl/>
        </w:rPr>
        <w:t>ו.</w:t>
      </w:r>
      <w:r w:rsidRPr="008228C8">
        <w:rPr>
          <w:rFonts w:ascii="FrankRuehl" w:hAnsi="FrankRuehl" w:cs="FrankRuehl"/>
          <w:sz w:val="28"/>
          <w:szCs w:val="28"/>
          <w:rtl/>
        </w:rPr>
        <w:tab/>
        <w:t>אני מכריז על הנאשם כסוחר סמים, ומורה על חילוט מכשיר טלפון שנתפס ממנו.</w:t>
      </w:r>
    </w:p>
    <w:p w:rsidR="008228C8" w:rsidRPr="008228C8" w:rsidRDefault="008228C8" w:rsidP="00E8635D">
      <w:pPr>
        <w:spacing w:line="360" w:lineRule="auto"/>
        <w:ind w:left="1440" w:hanging="720"/>
        <w:jc w:val="both"/>
        <w:rPr>
          <w:rFonts w:ascii="FrankRuehl" w:hAnsi="FrankRuehl" w:cs="FrankRuehl"/>
          <w:sz w:val="28"/>
          <w:szCs w:val="28"/>
          <w:rtl/>
        </w:rPr>
      </w:pPr>
    </w:p>
    <w:p w:rsidR="008228C8" w:rsidRPr="008228C8" w:rsidRDefault="008228C8" w:rsidP="00E8635D">
      <w:pPr>
        <w:spacing w:line="360" w:lineRule="auto"/>
        <w:ind w:firstLine="720"/>
        <w:jc w:val="both"/>
        <w:rPr>
          <w:rFonts w:ascii="FrankRuehl" w:hAnsi="FrankRuehl" w:cs="FrankRuehl"/>
          <w:sz w:val="28"/>
          <w:szCs w:val="28"/>
          <w:rtl/>
        </w:rPr>
      </w:pPr>
      <w:r w:rsidRPr="008228C8">
        <w:rPr>
          <w:rFonts w:ascii="FrankRuehl" w:hAnsi="FrankRuehl" w:cs="FrankRuehl"/>
          <w:sz w:val="28"/>
          <w:szCs w:val="28"/>
          <w:rtl/>
        </w:rPr>
        <w:lastRenderedPageBreak/>
        <w:t>מוסבר לנאשמים כי ניתן לשלם את הקנסות כעבור שלושה ימים מיום מתן גזר הדין לחשבון המרכז לגביית קנסות, אגרות והוצאות ברשות האכיפה והגביה באחת מהדרכים הבאות:</w:t>
      </w:r>
    </w:p>
    <w:p w:rsidR="008228C8" w:rsidRPr="008228C8" w:rsidRDefault="008228C8" w:rsidP="00E8635D">
      <w:pPr>
        <w:numPr>
          <w:ilvl w:val="0"/>
          <w:numId w:val="3"/>
        </w:numPr>
        <w:spacing w:line="360" w:lineRule="auto"/>
        <w:ind w:left="1434" w:hanging="357"/>
        <w:jc w:val="both"/>
        <w:rPr>
          <w:rFonts w:ascii="FrankRuehl" w:hAnsi="FrankRuehl" w:cs="FrankRuehl"/>
          <w:sz w:val="28"/>
          <w:szCs w:val="28"/>
          <w:rtl/>
        </w:rPr>
      </w:pPr>
      <w:r w:rsidRPr="008228C8">
        <w:rPr>
          <w:rFonts w:ascii="FrankRuehl" w:hAnsi="FrankRuehl" w:cs="FrankRuehl"/>
          <w:sz w:val="28"/>
          <w:szCs w:val="28"/>
          <w:rtl/>
        </w:rPr>
        <w:t xml:space="preserve">כרטיס אשראי באתר המקוון של רשות האכיפה והגביה </w:t>
      </w:r>
      <w:hyperlink r:id="rId9" w:history="1">
        <w:r w:rsidRPr="008228C8">
          <w:rPr>
            <w:rFonts w:ascii="FrankRuehl" w:hAnsi="FrankRuehl" w:cs="FrankRuehl"/>
            <w:color w:val="0000FF"/>
            <w:sz w:val="28"/>
            <w:szCs w:val="28"/>
            <w:u w:val="single"/>
          </w:rPr>
          <w:t>www.eca.gov.il</w:t>
        </w:r>
      </w:hyperlink>
      <w:r w:rsidRPr="008228C8">
        <w:rPr>
          <w:rFonts w:ascii="FrankRuehl" w:hAnsi="FrankRuehl" w:cs="FrankRuehl"/>
          <w:sz w:val="28"/>
          <w:szCs w:val="28"/>
          <w:rtl/>
        </w:rPr>
        <w:t xml:space="preserve">; </w:t>
      </w:r>
    </w:p>
    <w:p w:rsidR="008228C8" w:rsidRPr="008228C8" w:rsidRDefault="008228C8" w:rsidP="00E8635D">
      <w:pPr>
        <w:numPr>
          <w:ilvl w:val="0"/>
          <w:numId w:val="3"/>
        </w:numPr>
        <w:spacing w:line="360" w:lineRule="auto"/>
        <w:ind w:left="1434" w:hanging="357"/>
        <w:jc w:val="both"/>
        <w:rPr>
          <w:rFonts w:ascii="FrankRuehl" w:hAnsi="FrankRuehl" w:cs="FrankRuehl"/>
          <w:sz w:val="28"/>
          <w:szCs w:val="28"/>
          <w:rtl/>
        </w:rPr>
      </w:pPr>
      <w:r w:rsidRPr="008228C8">
        <w:rPr>
          <w:rFonts w:ascii="FrankRuehl" w:hAnsi="FrankRuehl" w:cs="FrankRuehl"/>
          <w:sz w:val="28"/>
          <w:szCs w:val="28"/>
          <w:rtl/>
        </w:rPr>
        <w:t xml:space="preserve">מוקד שירות טלפוני בשירות עצמי (מרכז גביה) 35592* או בטלפון 073-2055000; </w:t>
      </w:r>
    </w:p>
    <w:p w:rsidR="008228C8" w:rsidRPr="008228C8" w:rsidRDefault="008228C8" w:rsidP="00E8635D">
      <w:pPr>
        <w:numPr>
          <w:ilvl w:val="0"/>
          <w:numId w:val="3"/>
        </w:numPr>
        <w:spacing w:line="360" w:lineRule="auto"/>
        <w:ind w:left="1434" w:hanging="357"/>
        <w:jc w:val="both"/>
        <w:rPr>
          <w:rFonts w:ascii="FrankRuehl" w:hAnsi="FrankRuehl" w:cs="FrankRuehl"/>
          <w:sz w:val="28"/>
          <w:szCs w:val="28"/>
        </w:rPr>
      </w:pPr>
      <w:r w:rsidRPr="008228C8">
        <w:rPr>
          <w:rFonts w:ascii="FrankRuehl" w:hAnsi="FrankRuehl" w:cs="FrankRuehl"/>
          <w:sz w:val="28"/>
          <w:szCs w:val="28"/>
          <w:rtl/>
        </w:rPr>
        <w:t xml:space="preserve">במזומן בכל סניף של בנק דואר בהצגת תעודת זהות בלבד (אין צורך בשוברים). </w:t>
      </w:r>
    </w:p>
    <w:p w:rsidR="008228C8" w:rsidRPr="008228C8" w:rsidRDefault="008228C8" w:rsidP="008228C8">
      <w:pPr>
        <w:spacing w:line="360" w:lineRule="auto"/>
        <w:jc w:val="both"/>
        <w:rPr>
          <w:rFonts w:ascii="FrankRuehl" w:hAnsi="FrankRuehl" w:cs="FrankRuehl"/>
          <w:sz w:val="28"/>
          <w:szCs w:val="28"/>
        </w:rPr>
      </w:pPr>
    </w:p>
    <w:p w:rsidR="008228C8" w:rsidRPr="008228C8" w:rsidRDefault="008228C8" w:rsidP="008228C8">
      <w:pPr>
        <w:spacing w:line="360" w:lineRule="auto"/>
        <w:jc w:val="both"/>
        <w:rPr>
          <w:rFonts w:ascii="FrankRuehl" w:hAnsi="FrankRuehl" w:cs="Miriam"/>
          <w:b/>
          <w:sz w:val="28"/>
          <w:u w:val="single"/>
          <w:rtl/>
        </w:rPr>
      </w:pPr>
      <w:r w:rsidRPr="008228C8">
        <w:rPr>
          <w:rFonts w:ascii="FrankRuehl" w:hAnsi="FrankRuehl" w:cs="Miriam"/>
          <w:b/>
          <w:sz w:val="28"/>
          <w:u w:val="single"/>
          <w:rtl/>
        </w:rPr>
        <w:t>זכות ערעור לבית המשפט המחוזי תוך 45 ימים מהיום.</w:t>
      </w:r>
    </w:p>
    <w:p w:rsidR="00507694" w:rsidRPr="00981BF8" w:rsidRDefault="00507694">
      <w:pPr>
        <w:rPr>
          <w:rFonts w:ascii="Arial" w:hAnsi="Arial" w:cs="Miriam"/>
          <w:b/>
          <w:sz w:val="26"/>
          <w:rtl/>
        </w:rPr>
      </w:pPr>
    </w:p>
    <w:p w:rsidR="00ED4465" w:rsidRDefault="00684E84" w:rsidP="00E8635D">
      <w:pPr>
        <w:spacing w:line="360" w:lineRule="auto"/>
        <w:jc w:val="both"/>
        <w:rPr>
          <w:rFonts w:ascii="FrankRuehl" w:hAnsi="FrankRuehl" w:cs="FrankRuehl"/>
          <w:sz w:val="28"/>
          <w:szCs w:val="28"/>
          <w:rtl/>
        </w:rPr>
      </w:pPr>
      <w:r w:rsidRPr="00E8635D">
        <w:rPr>
          <w:rFonts w:ascii="FrankRuehl" w:hAnsi="FrankRuehl" w:cs="FrankRuehl"/>
          <w:sz w:val="28"/>
          <w:szCs w:val="28"/>
          <w:rtl/>
        </w:rPr>
        <w:t xml:space="preserve">ניתן היום,  </w:t>
      </w:r>
      <w:sdt>
        <w:sdtPr>
          <w:rPr>
            <w:rFonts w:ascii="FrankRuehl" w:hAnsi="FrankRuehl" w:cs="FrankRuehl"/>
            <w:sz w:val="28"/>
            <w:szCs w:val="28"/>
            <w:rtl/>
          </w:rPr>
          <w:alias w:val="1455"/>
          <w:tag w:val="1455"/>
          <w:id w:val="-750497047"/>
          <w:text w:multiLine="1"/>
        </w:sdtPr>
        <w:sdtEndPr/>
        <w:sdtContent>
          <w:r>
            <w:rPr>
              <w:rFonts w:ascii="FrankRuehl" w:hAnsi="FrankRuehl" w:cs="FrankRuehl"/>
              <w:sz w:val="28"/>
              <w:szCs w:val="28"/>
              <w:rtl/>
            </w:rPr>
            <w:t>כ"ח ניסן תשפ"ד</w:t>
          </w:r>
        </w:sdtContent>
      </w:sdt>
      <w:r w:rsidRPr="00E8635D">
        <w:rPr>
          <w:rFonts w:ascii="FrankRuehl" w:hAnsi="FrankRuehl" w:cs="FrankRuehl"/>
          <w:sz w:val="28"/>
          <w:szCs w:val="28"/>
          <w:rtl/>
        </w:rPr>
        <w:t xml:space="preserve">, </w:t>
      </w:r>
      <w:sdt>
        <w:sdtPr>
          <w:rPr>
            <w:rFonts w:ascii="FrankRuehl" w:hAnsi="FrankRuehl" w:cs="FrankRuehl"/>
            <w:sz w:val="28"/>
            <w:szCs w:val="28"/>
            <w:rtl/>
          </w:rPr>
          <w:alias w:val="1456"/>
          <w:tag w:val="1456"/>
          <w:id w:val="367718347"/>
          <w:text w:multiLine="1"/>
        </w:sdtPr>
        <w:sdtEndPr/>
        <w:sdtContent>
          <w:r>
            <w:rPr>
              <w:rFonts w:ascii="FrankRuehl" w:hAnsi="FrankRuehl" w:cs="FrankRuehl"/>
              <w:sz w:val="28"/>
              <w:szCs w:val="28"/>
              <w:rtl/>
            </w:rPr>
            <w:t>06 מאי 2024</w:t>
          </w:r>
        </w:sdtContent>
      </w:sdt>
      <w:r w:rsidRPr="00E8635D">
        <w:rPr>
          <w:rFonts w:ascii="FrankRuehl" w:hAnsi="FrankRuehl" w:cs="FrankRuehl"/>
          <w:sz w:val="28"/>
          <w:szCs w:val="28"/>
          <w:rtl/>
        </w:rPr>
        <w:t xml:space="preserve">, </w:t>
      </w:r>
      <w:r w:rsidR="00E8635D" w:rsidRPr="00E8635D">
        <w:rPr>
          <w:rFonts w:ascii="FrankRuehl" w:hAnsi="FrankRuehl" w:cs="FrankRuehl" w:hint="cs"/>
          <w:sz w:val="28"/>
          <w:szCs w:val="28"/>
          <w:rtl/>
        </w:rPr>
        <w:t>במעמד</w:t>
      </w:r>
      <w:r w:rsidRPr="00E8635D">
        <w:rPr>
          <w:rFonts w:ascii="FrankRuehl" w:hAnsi="FrankRuehl" w:cs="FrankRuehl"/>
          <w:sz w:val="28"/>
          <w:szCs w:val="28"/>
          <w:rtl/>
        </w:rPr>
        <w:t xml:space="preserve"> הצדדים.</w:t>
      </w:r>
    </w:p>
    <w:p w:rsidR="00E8635D" w:rsidRPr="008228C8" w:rsidRDefault="00E8635D" w:rsidP="00E8635D">
      <w:pPr>
        <w:spacing w:line="360" w:lineRule="auto"/>
        <w:jc w:val="both"/>
        <w:rPr>
          <w:rFonts w:ascii="FrankRuehl" w:hAnsi="FrankRuehl" w:cs="FrankRuehl"/>
          <w:sz w:val="28"/>
          <w:szCs w:val="28"/>
          <w:rtl/>
        </w:rPr>
      </w:pPr>
      <w:r w:rsidRPr="008228C8">
        <w:rPr>
          <w:rFonts w:ascii="FrankRuehl" w:hAnsi="FrankRuehl" w:cs="FrankRuehl"/>
          <w:sz w:val="28"/>
          <w:szCs w:val="28"/>
          <w:rtl/>
        </w:rPr>
        <w:t>המזכירות תעביר עותק מגזר הדין לשירות המבחן.</w:t>
      </w:r>
    </w:p>
    <w:p w:rsidR="00507694" w:rsidRPr="00981BF8" w:rsidRDefault="00ED4465" w:rsidP="00FD7CF9">
      <w:pPr>
        <w:spacing w:line="360" w:lineRule="auto"/>
        <w:jc w:val="both"/>
        <w:rPr>
          <w:rFonts w:ascii="Arial" w:hAnsi="Arial" w:cs="Miriam"/>
          <w:b/>
          <w:sz w:val="26"/>
          <w:rtl/>
        </w:rPr>
      </w:pPr>
      <w:r w:rsidRPr="00981BF8">
        <w:rPr>
          <w:rFonts w:ascii="Arial" w:hAnsi="Arial" w:cs="Miriam"/>
          <w:b/>
          <w:sz w:val="26"/>
          <w:rtl/>
        </w:rPr>
        <w:tab/>
      </w:r>
      <w:r w:rsidRPr="00981BF8">
        <w:rPr>
          <w:rFonts w:ascii="Arial" w:hAnsi="Arial" w:cs="Miriam"/>
          <w:b/>
          <w:sz w:val="26"/>
          <w:rtl/>
        </w:rPr>
        <w:tab/>
      </w:r>
      <w:r w:rsidRPr="00981BF8">
        <w:rPr>
          <w:rFonts w:ascii="Arial" w:hAnsi="Arial" w:cs="Miriam"/>
          <w:b/>
          <w:sz w:val="26"/>
          <w:rtl/>
        </w:rPr>
        <w:tab/>
      </w:r>
      <w:r w:rsidRPr="00981BF8">
        <w:rPr>
          <w:rFonts w:ascii="Arial" w:hAnsi="Arial" w:cs="Miriam"/>
          <w:b/>
          <w:sz w:val="26"/>
          <w:rtl/>
        </w:rPr>
        <w:tab/>
      </w:r>
      <w:r w:rsidRPr="00981BF8">
        <w:rPr>
          <w:rFonts w:ascii="Arial" w:hAnsi="Arial" w:cs="Miriam"/>
          <w:b/>
          <w:sz w:val="26"/>
          <w:rtl/>
        </w:rPr>
        <w:tab/>
      </w:r>
      <w:r w:rsidRPr="00981BF8">
        <w:rPr>
          <w:rFonts w:ascii="Arial" w:hAnsi="Arial" w:cs="Miriam"/>
          <w:b/>
          <w:sz w:val="26"/>
          <w:rtl/>
        </w:rPr>
        <w:tab/>
      </w:r>
      <w:r w:rsidRPr="00981BF8">
        <w:rPr>
          <w:rFonts w:ascii="Arial" w:hAnsi="Arial" w:cs="Miriam"/>
          <w:b/>
          <w:sz w:val="26"/>
          <w:rtl/>
        </w:rPr>
        <w:tab/>
      </w:r>
      <w:r w:rsidRPr="00981BF8">
        <w:rPr>
          <w:rFonts w:ascii="Arial" w:hAnsi="Arial" w:cs="Miriam" w:hint="cs"/>
          <w:b/>
          <w:sz w:val="26"/>
          <w:rtl/>
        </w:rPr>
        <w:t xml:space="preserve">     </w:t>
      </w:r>
      <w:sdt>
        <w:sdtPr>
          <w:rPr>
            <w:rFonts w:ascii="Arial" w:hAnsi="Arial" w:cs="Miriam"/>
            <w:b/>
            <w:sz w:val="26"/>
            <w:rtl/>
          </w:rPr>
          <w:alias w:val="2045"/>
          <w:tag w:val="2045"/>
          <w:id w:val="2049650239"/>
          <w:placeholder>
            <w:docPart w:val="4C499F2ED676413B965A992DD16BA968"/>
          </w:placeholder>
          <w:showingPlcHdr/>
          <w:text w:multiLine="1"/>
        </w:sdtPr>
        <w:sdtEndPr/>
        <w:sdtContent>
          <w:r w:rsidR="004902D6" w:rsidRPr="00981BF8">
            <w:rPr>
              <w:rFonts w:ascii="Arial" w:hAnsi="Arial" w:cs="Miriam" w:hint="cs"/>
              <w:b/>
              <w:sz w:val="26"/>
              <w:rtl/>
            </w:rPr>
            <w:t xml:space="preserve">    </w:t>
          </w:r>
        </w:sdtContent>
      </w:sdt>
    </w:p>
    <w:p w:rsidR="00507694" w:rsidRPr="00981BF8" w:rsidRDefault="003E0C9F" w:rsidP="002B7D23">
      <w:pPr>
        <w:jc w:val="center"/>
      </w:pPr>
      <w:r w:rsidRPr="00981BF8">
        <w:rPr>
          <w:rFonts w:ascii="Arial" w:hAnsi="Arial" w:cs="Miriam"/>
          <w:b/>
          <w:sz w:val="26"/>
          <w:rtl/>
        </w:rPr>
        <w:t xml:space="preserve">   </w:t>
      </w:r>
      <w:r w:rsidRPr="00981BF8">
        <w:rPr>
          <w:rFonts w:ascii="Arial" w:hAnsi="Arial" w:cs="Miriam"/>
          <w:b/>
          <w:sz w:val="26"/>
          <w:rtl/>
        </w:rPr>
        <w:tab/>
      </w:r>
      <w:r w:rsidRPr="00981BF8">
        <w:rPr>
          <w:rFonts w:ascii="Arial" w:hAnsi="Arial" w:cs="Miriam"/>
          <w:b/>
          <w:sz w:val="26"/>
          <w:rtl/>
        </w:rPr>
        <w:tab/>
      </w:r>
      <w:r w:rsidRPr="00981BF8">
        <w:rPr>
          <w:rFonts w:ascii="Arial" w:hAnsi="Arial" w:cs="Miriam"/>
          <w:b/>
          <w:sz w:val="26"/>
          <w:rtl/>
        </w:rPr>
        <w:tab/>
      </w:r>
      <w:r w:rsidRPr="00981BF8">
        <w:rPr>
          <w:rFonts w:ascii="Arial" w:hAnsi="Arial" w:cs="Miriam"/>
          <w:b/>
          <w:sz w:val="26"/>
          <w:rtl/>
        </w:rPr>
        <w:tab/>
      </w:r>
      <w:r w:rsidRPr="00981BF8">
        <w:rPr>
          <w:rFonts w:ascii="Arial" w:hAnsi="Arial" w:cs="Miriam"/>
          <w:b/>
          <w:sz w:val="26"/>
          <w:rtl/>
        </w:rPr>
        <w:tab/>
      </w:r>
      <w:sdt>
        <w:sdtPr>
          <w:rPr>
            <w:rtl/>
          </w:rPr>
          <w:alias w:val="MergeField"/>
          <w:tag w:val="1237"/>
          <w:id w:val="-316040181"/>
        </w:sdtPr>
        <w:sdtEndPr/>
        <w:sdtContent>
          <w:r w:rsidR="00453096">
            <w:rPr>
              <w:noProof/>
            </w:rPr>
            <w:drawing>
              <wp:inline distT="0" distB="0" distL="0" distR="0" wp14:editId="50D07946">
                <wp:extent cx="151447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14475" cy="933450"/>
                        </a:xfrm>
                        <a:prstGeom prst="rect">
                          <a:avLst/>
                        </a:prstGeom>
                      </pic:spPr>
                    </pic:pic>
                  </a:graphicData>
                </a:graphic>
              </wp:inline>
            </w:drawing>
          </w:r>
        </w:sdtContent>
      </w:sdt>
    </w:p>
    <w:p w:rsidR="00507694" w:rsidRPr="00981BF8" w:rsidRDefault="00507694" w:rsidP="002B7D23">
      <w:pPr>
        <w:jc w:val="center"/>
        <w:rPr>
          <w:rFonts w:ascii="Arial" w:hAnsi="Arial" w:cs="Miriam"/>
          <w:b/>
          <w:sz w:val="26"/>
          <w:rtl/>
        </w:rPr>
      </w:pPr>
    </w:p>
    <w:sectPr w:rsidR="00507694" w:rsidRPr="00981BF8" w:rsidSect="00CC41EB">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2DB" w:rsidRDefault="00AE42DB">
      <w:r>
        <w:separator/>
      </w:r>
    </w:p>
  </w:endnote>
  <w:endnote w:type="continuationSeparator" w:id="0">
    <w:p w:rsidR="00AE42DB" w:rsidRDefault="00AE4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1B34BA">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1B34BA">
      <w:rPr>
        <w:noProof/>
        <w:rtl/>
      </w:rPr>
      <w:t>17</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2C7" w:rsidRDefault="00D802C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2DB" w:rsidRDefault="00AE42DB">
      <w:r>
        <w:separator/>
      </w:r>
    </w:p>
  </w:footnote>
  <w:footnote w:type="continuationSeparator" w:id="0">
    <w:p w:rsidR="00AE42DB" w:rsidRDefault="00AE4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2C7" w:rsidRDefault="00D802C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28"/>
      <w:gridCol w:w="3479"/>
    </w:tblGrid>
    <w:tr w:rsidR="00507694">
      <w:trPr>
        <w:trHeight w:hRule="exact" w:val="418"/>
        <w:jc w:val="center"/>
      </w:trPr>
      <w:sdt>
        <w:sdtPr>
          <w:rPr>
            <w:rFonts w:ascii="David" w:hAnsi="David"/>
            <w:b/>
            <w:sz w:val="28"/>
            <w:szCs w:val="28"/>
            <w:rtl/>
          </w:rPr>
          <w:alias w:val="1174"/>
          <w:tag w:val="1174"/>
          <w:id w:val="-140351139"/>
          <w:text/>
        </w:sdtPr>
        <w:sdtEndPr/>
        <w:sdtContent>
          <w:tc>
            <w:tcPr>
              <w:tcW w:w="8861" w:type="dxa"/>
              <w:gridSpan w:val="2"/>
            </w:tcPr>
            <w:p w:rsidR="00507694" w:rsidRPr="00981BF8" w:rsidRDefault="00684E84">
              <w:pPr>
                <w:pStyle w:val="a3"/>
                <w:jc w:val="center"/>
                <w:rPr>
                  <w:rFonts w:ascii="Tahoma" w:hAnsi="Tahoma" w:cs="Tahoma"/>
                  <w:bCs/>
                  <w:color w:val="000080"/>
                  <w:sz w:val="28"/>
                  <w:szCs w:val="28"/>
                  <w:rtl/>
                </w:rPr>
              </w:pPr>
              <w:r w:rsidRPr="00525D25">
                <w:rPr>
                  <w:rFonts w:ascii="David" w:hAnsi="David"/>
                  <w:b/>
                  <w:color w:val="000080"/>
                  <w:sz w:val="28"/>
                  <w:szCs w:val="28"/>
                  <w:rtl/>
                </w:rPr>
                <w:t>בית משפט השלום בנתניה</w:t>
              </w:r>
            </w:p>
          </w:tc>
        </w:sdtContent>
      </w:sdt>
    </w:tr>
    <w:tr w:rsidR="00507694">
      <w:trPr>
        <w:trHeight w:val="337"/>
        <w:jc w:val="center"/>
      </w:trPr>
      <w:tc>
        <w:tcPr>
          <w:tcW w:w="5131" w:type="dxa"/>
        </w:tcPr>
        <w:p w:rsidR="00507694" w:rsidRDefault="00AE42DB">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D33BE7">
                <w:rPr>
                  <w:rFonts w:cs="FrankRuehl"/>
                  <w:sz w:val="28"/>
                  <w:szCs w:val="28"/>
                  <w:rtl/>
                </w:rPr>
                <w:t>30409-05-22</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כנפו ואח'</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2C7" w:rsidRDefault="00D802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3FC0EC3"/>
    <w:multiLevelType w:val="hybridMultilevel"/>
    <w:tmpl w:val="82E4F8D2"/>
    <w:lvl w:ilvl="0" w:tplc="3694176A">
      <w:numFmt w:val="bullet"/>
      <w:lvlText w:val=""/>
      <w:lvlJc w:val="left"/>
      <w:pPr>
        <w:ind w:left="1440" w:hanging="360"/>
      </w:pPr>
      <w:rPr>
        <w:rFonts w:ascii="Symbol" w:eastAsia="Times New Roman" w:hAnsi="Symbol" w:cs="David"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7714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77142&amp;lt;/CaseID&amp;gt;_x000d__x000a_        &amp;lt;CaseMonth&amp;gt;5&amp;lt;/CaseMonth&amp;gt;_x000d__x000a_        &amp;lt;CaseYear&amp;gt;2022&amp;lt;/CaseYear&amp;gt;_x000d__x000a_        &amp;lt;CaseNumber&amp;gt;30409&amp;lt;/CaseNumber&amp;gt;_x000d__x000a_        &amp;lt;NumeratorGroupID&amp;gt;1&amp;lt;/NumeratorGroupID&amp;gt;_x000d__x000a_        &amp;lt;CaseName&amp;gt;מדינת ישראל נ&amp;#39; כנפו ואח&amp;#39;&amp;lt;/CaseName&amp;gt;_x000d__x000a_        &amp;lt;CourtID&amp;gt;38&amp;lt;/CourtID&amp;gt;_x000d__x000a_        &amp;lt;CaseTypeID&amp;gt;10048&amp;lt;/CaseTypeID&amp;gt;_x000d__x000a_        &amp;lt;CaseJudgeName&amp;gt;גיא אבנו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0409-05-22&amp;lt;/CaseDisplayIdentifier&amp;gt;_x000d__x000a_        &amp;lt;CaseTypeDesc&amp;gt;ת&amp;quot;פ&amp;lt;/CaseTypeDesc&amp;gt;_x000d__x000a_        &amp;lt;CourtDesc&amp;gt;שלום נתניה&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2-05-15T13:33: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גיא&amp;lt;/CaseJudgeFirstName&amp;gt;_x000d__x000a_        &amp;lt;CaseJudgeLastName&amp;gt;אבנון&amp;lt;/CaseJudgeLastName&amp;gt;_x000d__x000a_        &amp;lt;JudicalPersonID&amp;gt;029377454@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IsMainCase&amp;gt;false&amp;lt;/IsMainCase&amp;gt;_x000d__x000a_        &amp;lt;CaseDesc&amp;gt;לירן ראש לשכת תביעות אישר קבלת ההחלטה מיום 4.10.22_x000d__x000a__x000d__x000a_התסקירים מיום 8-9/11 הועברו במייל לעו&amp;quot;ד און וביום 14.11 נשלחו שוב במייל.בשיחה עמו נמסר לי כי נשלח למייל ולא בנט כי לא ניתן לצפות._x000d__x000a_רלי_x000d__x000a_14.11&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77142&amp;lt;/CaseID&amp;gt;_x000d__x000a_        &amp;lt;CaseMonth&amp;gt;5&amp;lt;/CaseMonth&amp;gt;_x000d__x000a_        &amp;lt;CaseYear&amp;gt;2022&amp;lt;/CaseYear&amp;gt;_x000d__x000a_        &amp;lt;CaseNumber&amp;gt;30409&amp;lt;/CaseNumber&amp;gt;_x000d__x000a_        &amp;lt;NumeratorGroupID&amp;gt;1&amp;lt;/NumeratorGroupID&amp;gt;_x000d__x000a_        &amp;lt;CaseName&amp;gt;מדינת ישראל נ&amp;#39; כנפו ואח&amp;#39;&amp;lt;/CaseName&amp;gt;_x000d__x000a_        &amp;lt;CourtID&amp;gt;38&amp;lt;/CourtID&amp;gt;_x000d__x000a_        &amp;lt;CaseTypeID&amp;gt;10048&amp;lt;/CaseTypeID&amp;gt;_x000d__x000a_        &amp;lt;CaseJudgeName&amp;gt;גיא אבנו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0409-05-22&amp;lt;/CaseDisplayIdentifier&amp;gt;_x000d__x000a_        &amp;lt;CaseTypeDesc&amp;gt;ת&amp;quot;פ&amp;lt;/CaseTypeDesc&amp;gt;_x000d__x000a_        &amp;lt;CourtDesc&amp;gt;שלום נתניה&amp;lt;/CourtDesc&amp;gt;_x000d__x000a_        &amp;lt;CaseStageDesc&amp;gt;תיק אלקטרוני&amp;lt;/CaseStageDesc&amp;gt;_x000d__x000a_        &amp;lt;CaseNextDeterminingTask&amp;gt;150&amp;lt;/CaseNextDeterminingTask&amp;gt;_x000d__x000a_        &amp;lt;CaseOpenDate&amp;gt;2022-05-15T13:33: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גיא&amp;lt;/CaseJudgeFirstName&amp;gt;_x000d__x000a_        &amp;lt;CaseJudgeLastName&amp;gt;אבנון&amp;lt;/CaseJudgeLastName&amp;gt;_x000d__x000a_        &amp;lt;JudicalPersonID&amp;gt;029377454@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IsMainCase&amp;gt;false&amp;lt;/IsMainCase&amp;gt;_x000d__x000a_        &amp;lt;CaseDesc&amp;gt;לירן ראש לשכת תביעות אישר קבלת ההחלטה מיום 4.10.22_x000d__x000a__x000d__x000a_התסקירים מיום 8-9/11 הועברו במייל לעו&amp;quot;ד און וביום 14.11 נשלחו שוב במייל.בשיחה עמו נמסר לי כי נשלח למייל ולא בנט כי לא ניתן לצפות._x000d__x000a_רלי_x000d__x000a_14.11&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313292&amp;lt;/DecisionID&amp;gt;_x000d__x000a_        &amp;lt;DecisionName&amp;gt;גזר דין  שניתנה ע&amp;quot;י  גיא אבנון&amp;lt;/DecisionName&amp;gt;_x000d__x000a_        &amp;lt;DecisionStatusID&amp;gt;1&amp;lt;/DecisionStatusID&amp;gt;_x000d__x000a_        &amp;lt;DecisionStatusChangeDate&amp;gt;2024-04-29T20:22:02.747+03:00&amp;lt;/DecisionStatusChangeDate&amp;gt;_x000d__x000a_        &amp;lt;DecisionSignatureDate&amp;gt;2024-04-28T13:53:59.547+03:00&amp;lt;/DecisionSignatureDate&amp;gt;_x000d__x000a_        &amp;lt;DecisionSignatureUserID&amp;gt;029377454@GOV.IL&amp;lt;/DecisionSignatureUserID&amp;gt;_x000d__x000a_        &amp;lt;DecisionCreateDate&amp;gt;2024-04-28T13:55:03.457+03:00&amp;lt;/DecisionCreateDate&amp;gt;_x000d__x000a_        &amp;lt;DecisionChangeDate&amp;gt;2024-04-29T20:22:02.937+03:00&amp;lt;/DecisionChangeDate&amp;gt;_x000d__x000a_        &amp;lt;DecisionChangeUserID&amp;gt;0293774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139499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3774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77454@GOV.IL&amp;lt;/DecisionCreationUserID&amp;gt;_x000d__x000a_        &amp;lt;DecisionDisplayName&amp;gt;גזר דין  שניתנה ע&amp;quot;י  גיא אבנון&amp;lt;/DecisionDisplayName&amp;gt;_x000d__x000a_        &amp;lt;IsScanned&amp;gt;false&amp;lt;/IsScanned&amp;gt;_x000d__x000a_        &amp;lt;DecisionSignatureUserName&amp;gt;גיא אבנ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1313292&amp;lt;/DecisionID&amp;gt;_x000d__x000a_        &amp;lt;CaseID&amp;gt;79277142&amp;lt;/CaseID&amp;gt;_x000d__x000a_        &amp;lt;IsOriginal&amp;gt;true&amp;lt;/IsOriginal&amp;gt;_x000d__x000a_        &amp;lt;IsDeleted&amp;gt;false&amp;lt;/IsDeleted&amp;gt;_x000d__x000a_        &amp;lt;CaseName&amp;gt;מדינת ישראל נ&amp;#39; כנפו ואח&amp;#39;&amp;lt;/CaseName&amp;gt;_x000d__x000a_        &amp;lt;CaseDisplayIdentifier&amp;gt;30409-05-22 ת&amp;quot;פ&amp;lt;/CaseDisplayIdentifier&amp;gt;_x000d__x000a_      &amp;lt;/dt_DecisionCase&amp;gt;_x000d__x000a_    &amp;lt;/DecisionDS&amp;gt;_x000d__x000a_  &amp;lt;/diffgr:diffgram&amp;gt;_x000d__x000a_&amp;lt;/DecisionDS&amp;gt;"/>
    <w:docVar w:name="DecisionID" w:val="151313292"/>
    <w:docVar w:name="WordClientAssemblyName" w:val="NGCS.Decision.ClientWordBL"/>
    <w:docVar w:name="WordClientClassName" w:val="NGCS.Decision.ClientWordBL.DecisionClient"/>
  </w:docVars>
  <w:rsids>
    <w:rsidRoot w:val="00507694"/>
    <w:rsid w:val="000050AF"/>
    <w:rsid w:val="0000752B"/>
    <w:rsid w:val="0001730C"/>
    <w:rsid w:val="0002011D"/>
    <w:rsid w:val="00031F8A"/>
    <w:rsid w:val="000454A8"/>
    <w:rsid w:val="00054FC4"/>
    <w:rsid w:val="0006726A"/>
    <w:rsid w:val="00075A99"/>
    <w:rsid w:val="000A32F5"/>
    <w:rsid w:val="000B2D9D"/>
    <w:rsid w:val="000D0D79"/>
    <w:rsid w:val="000F2247"/>
    <w:rsid w:val="000F7A3C"/>
    <w:rsid w:val="00100577"/>
    <w:rsid w:val="00111BE7"/>
    <w:rsid w:val="0011693F"/>
    <w:rsid w:val="001352F8"/>
    <w:rsid w:val="00175389"/>
    <w:rsid w:val="001870E8"/>
    <w:rsid w:val="001A3259"/>
    <w:rsid w:val="001A39DD"/>
    <w:rsid w:val="001B34BA"/>
    <w:rsid w:val="002066B0"/>
    <w:rsid w:val="00212125"/>
    <w:rsid w:val="0022053D"/>
    <w:rsid w:val="00220F03"/>
    <w:rsid w:val="00224AC0"/>
    <w:rsid w:val="00256382"/>
    <w:rsid w:val="00263AFF"/>
    <w:rsid w:val="00276E30"/>
    <w:rsid w:val="002B1F00"/>
    <w:rsid w:val="002B7D23"/>
    <w:rsid w:val="002D66E5"/>
    <w:rsid w:val="002D6C61"/>
    <w:rsid w:val="00322EAB"/>
    <w:rsid w:val="00340C4C"/>
    <w:rsid w:val="00367565"/>
    <w:rsid w:val="00390322"/>
    <w:rsid w:val="003D7D8A"/>
    <w:rsid w:val="003E0C9F"/>
    <w:rsid w:val="003E5B6E"/>
    <w:rsid w:val="004215DC"/>
    <w:rsid w:val="00421D80"/>
    <w:rsid w:val="00445FCC"/>
    <w:rsid w:val="00453096"/>
    <w:rsid w:val="00462B78"/>
    <w:rsid w:val="00483E45"/>
    <w:rsid w:val="004902D6"/>
    <w:rsid w:val="004C67FC"/>
    <w:rsid w:val="004C7FD0"/>
    <w:rsid w:val="004E6DB8"/>
    <w:rsid w:val="0050033D"/>
    <w:rsid w:val="00507694"/>
    <w:rsid w:val="00525D25"/>
    <w:rsid w:val="00561ECF"/>
    <w:rsid w:val="00566B73"/>
    <w:rsid w:val="00594073"/>
    <w:rsid w:val="005B0CB5"/>
    <w:rsid w:val="005C7B0B"/>
    <w:rsid w:val="005D108A"/>
    <w:rsid w:val="005E2117"/>
    <w:rsid w:val="005E6F3F"/>
    <w:rsid w:val="00614065"/>
    <w:rsid w:val="006215CF"/>
    <w:rsid w:val="00675902"/>
    <w:rsid w:val="00683ABD"/>
    <w:rsid w:val="00684E84"/>
    <w:rsid w:val="0069068F"/>
    <w:rsid w:val="006955FA"/>
    <w:rsid w:val="006971EA"/>
    <w:rsid w:val="006B5F86"/>
    <w:rsid w:val="006C2095"/>
    <w:rsid w:val="006D0132"/>
    <w:rsid w:val="006D39F7"/>
    <w:rsid w:val="00706644"/>
    <w:rsid w:val="00715E07"/>
    <w:rsid w:val="00721572"/>
    <w:rsid w:val="0074094C"/>
    <w:rsid w:val="00742B62"/>
    <w:rsid w:val="00757983"/>
    <w:rsid w:val="00777A1A"/>
    <w:rsid w:val="00780E66"/>
    <w:rsid w:val="007C1434"/>
    <w:rsid w:val="007E474D"/>
    <w:rsid w:val="007F2856"/>
    <w:rsid w:val="007F427E"/>
    <w:rsid w:val="00800AD6"/>
    <w:rsid w:val="00821F29"/>
    <w:rsid w:val="00822550"/>
    <w:rsid w:val="008228C8"/>
    <w:rsid w:val="00824954"/>
    <w:rsid w:val="00832D73"/>
    <w:rsid w:val="00840C35"/>
    <w:rsid w:val="008508A6"/>
    <w:rsid w:val="008819B4"/>
    <w:rsid w:val="00881AB2"/>
    <w:rsid w:val="008D2003"/>
    <w:rsid w:val="008F3E31"/>
    <w:rsid w:val="00943771"/>
    <w:rsid w:val="00945260"/>
    <w:rsid w:val="00947A75"/>
    <w:rsid w:val="00947B38"/>
    <w:rsid w:val="00964A74"/>
    <w:rsid w:val="009705CC"/>
    <w:rsid w:val="00973C24"/>
    <w:rsid w:val="00981BF8"/>
    <w:rsid w:val="009A2343"/>
    <w:rsid w:val="009A3954"/>
    <w:rsid w:val="009A730D"/>
    <w:rsid w:val="009C19C5"/>
    <w:rsid w:val="009E330B"/>
    <w:rsid w:val="009E35A7"/>
    <w:rsid w:val="009E49A1"/>
    <w:rsid w:val="009E49FF"/>
    <w:rsid w:val="009E4B74"/>
    <w:rsid w:val="009F3A36"/>
    <w:rsid w:val="009F504D"/>
    <w:rsid w:val="00A23586"/>
    <w:rsid w:val="00A504C4"/>
    <w:rsid w:val="00A715F5"/>
    <w:rsid w:val="00A92287"/>
    <w:rsid w:val="00A94914"/>
    <w:rsid w:val="00AC01DE"/>
    <w:rsid w:val="00AD01CB"/>
    <w:rsid w:val="00AD205E"/>
    <w:rsid w:val="00AE42DB"/>
    <w:rsid w:val="00AF3535"/>
    <w:rsid w:val="00B05847"/>
    <w:rsid w:val="00B066AD"/>
    <w:rsid w:val="00B141E5"/>
    <w:rsid w:val="00B22E0A"/>
    <w:rsid w:val="00B31A26"/>
    <w:rsid w:val="00B61B8F"/>
    <w:rsid w:val="00B61D7E"/>
    <w:rsid w:val="00BD03FF"/>
    <w:rsid w:val="00BD67E7"/>
    <w:rsid w:val="00BE0015"/>
    <w:rsid w:val="00BE1AA7"/>
    <w:rsid w:val="00BF3C7B"/>
    <w:rsid w:val="00C02463"/>
    <w:rsid w:val="00C41DA3"/>
    <w:rsid w:val="00C45023"/>
    <w:rsid w:val="00C55E62"/>
    <w:rsid w:val="00C572E8"/>
    <w:rsid w:val="00C66D2D"/>
    <w:rsid w:val="00C8508D"/>
    <w:rsid w:val="00C86855"/>
    <w:rsid w:val="00CB74B5"/>
    <w:rsid w:val="00CC2E02"/>
    <w:rsid w:val="00CC3D66"/>
    <w:rsid w:val="00CC41EB"/>
    <w:rsid w:val="00CD7F97"/>
    <w:rsid w:val="00D202F4"/>
    <w:rsid w:val="00D3203D"/>
    <w:rsid w:val="00D33BE7"/>
    <w:rsid w:val="00D802C7"/>
    <w:rsid w:val="00DB06B6"/>
    <w:rsid w:val="00DB617B"/>
    <w:rsid w:val="00DB76A8"/>
    <w:rsid w:val="00DC347D"/>
    <w:rsid w:val="00DE4D0B"/>
    <w:rsid w:val="00DE7D4A"/>
    <w:rsid w:val="00E20386"/>
    <w:rsid w:val="00E47425"/>
    <w:rsid w:val="00E51082"/>
    <w:rsid w:val="00E55C9A"/>
    <w:rsid w:val="00E70F9C"/>
    <w:rsid w:val="00E8635D"/>
    <w:rsid w:val="00EA0F70"/>
    <w:rsid w:val="00EC4029"/>
    <w:rsid w:val="00ED4465"/>
    <w:rsid w:val="00EE6880"/>
    <w:rsid w:val="00EF1CDB"/>
    <w:rsid w:val="00F14E70"/>
    <w:rsid w:val="00F31BD4"/>
    <w:rsid w:val="00F452B0"/>
    <w:rsid w:val="00F5070B"/>
    <w:rsid w:val="00F63A2E"/>
    <w:rsid w:val="00F75AFC"/>
    <w:rsid w:val="00F76D69"/>
    <w:rsid w:val="00F83913"/>
    <w:rsid w:val="00F93F75"/>
    <w:rsid w:val="00FD6318"/>
    <w:rsid w:val="00FD7CF9"/>
    <w:rsid w:val="00FF325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530802137">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eca.gov.i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B15DB9" w:rsidP="00B15DB9">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7A3C0B"/>
    <w:rsid w:val="00AF3697"/>
    <w:rsid w:val="00B15DB9"/>
    <w:rsid w:val="00CC13F5"/>
    <w:rsid w:val="00EE528B"/>
    <w:rsid w:val="00F9714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B15DB9"/>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B15DB9"/>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אחר</RoleName>
        <IsSubProceeding>FALSE</IsSubProceeding>
        <FullName>האפוטרופוס הכללי - הקרן למלחמה בסמים</FullName>
        <LastName>האפוטרופוס הכללי - הקרן למלחמה בסמים</LastName>
        <PartyPropertyName/>
        <AuthenticationTypeAndNumber>משרדי ממשלה 500106269</AuthenticationTypeAndNumber>
        <RepresentatedOrRepresentativesNames/>
        <RepresentatedOrRepresentativesCount>0</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241018958</CasePartyID>
        <PartyTypeID>3</PartyTypeID>
        <ActivityStatusID>1</ActivityStatusID>
        <LegalEntityID>2116367</LegalEntityID>
        <CaseLegalEntityID>119771957</CaseLegalEntityID>
        <AssistantRoleID>33</AssistantRoleID>
        <AuthenticationTypeID>13</AuthenticationTypeID>
        <AuthenticationTypeName>משרדי ממשלה</AuthenticationTypeName>
        <LegalEntityNumber>500106269</LegalEntityNumber>
        <IsMainPartyType>true</IsMainPartyType>
        <CaseDisplayIdentifier>30409-05-22</CaseDisplayIdentifier>
        <CaseTypeID>10048</CaseTypeID>
        <CaseTypeName>תיק פלילי (ת"פ)</CaseTypeName>
        <CaseName>מדינת ישראל נ' כנפו ואח'</CaseName>
        <FullAddress>יפו 216 ירושלים בית שערי העיר</FullAddress>
        <EmailAddress>Asset.Forfeiture.Uni@justice.gov.il</EmailAddress>
        <MotionID>0</MotionID>
        <CasePleaID>0</CasePleaID>
        <LinkedCaseID>0</LinkedCaseID>
        <PartyID>1</PartyID>
        <CasePartyCategoryID>2</CasePartyCategoryID>
        <LegalEntityAddressID>33497233</LegalEntityAddressID>
        <LegalEntityEmailAddressID>67985771</LegalEntityEmailAddressID>
        <PleaTypeID>8</PleaTypeID>
        <GroupPartyAlias/>
        <IsConverted>false</IsConverted>
        <LegalEntityRegisteredNameID>335034</LegalEntityRegisteredNameID>
        <RepresentatedNamesOfAssistant/>
        <LegalEntityTypeID>3</LegalEntityTypeID>
        <IsVerdictExists>false</IsVerdictExists>
        <IsAsirAzir>false</IsAsirAzir>
        <IsPublicationProhibited>false</IsPublicationProhibited>
        <PublicationProhibitedFullName>האפוטרופוס הכללי - הקרן למלחמה בסמים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243562601</CasePartyID>
        <PartyTypeID>3</PartyTypeID>
        <ActivityStatusID>1</ActivityStatusID>
        <LegalEntityID>7551403</LegalEntityID>
        <CaseLegalEntityID>120532761</CaseLegalEntityID>
        <AssistantRoleID>13</AssistantRoleID>
        <AuthenticationTypeID>13</AuthenticationTypeID>
        <AuthenticationTypeName>משרדי ממשלה</AuthenticationTypeName>
        <LegalEntityNumber>513442041</LegalEntityNumber>
        <IsMainPartyType>true</IsMainPartyType>
        <CaseDisplayIdentifier>30409-05-22</CaseDisplayIdentifier>
        <CaseTypeID>10048</CaseTypeID>
        <CaseTypeName>תיק פלילי (ת"פ)</CaseTypeName>
        <CaseName>מדינת ישראל נ' כנפו ואח'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נתניה</FullName>
        <LastName>שרות מבחן למבוגרים - נתניה</LastName>
        <PartyPropertyName/>
        <AuthenticationTypeAndNumber>משרדי ממשלה 500106280</AuthenticationTypeAndNumber>
        <RepresentatedOrRepresentativesNames/>
        <RepresentatedOrRepresentativesCount>0</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250774219</CasePartyID>
        <PartyTypeID>3</PartyTypeID>
        <ActivityStatusID>1</ActivityStatusID>
        <LegalEntityID>2116703</LegalEntityID>
        <CaseLegalEntityID>122826729</CaseLegalEntityID>
        <AssistantRoleID>14</AssistantRoleID>
        <AuthenticationTypeID>13</AuthenticationTypeID>
        <AuthenticationTypeName>משרדי ממשלה</AuthenticationTypeName>
        <LegalEntityNumber>500106280</LegalEntityNumber>
        <IsMainPartyType>true</IsMainPartyType>
        <CaseDisplayIdentifier>30409-05-22</CaseDisplayIdentifier>
        <CaseTypeID>10048</CaseTypeID>
        <CaseTypeName>תיק פלילי (ת"פ)</CaseTypeName>
        <CaseName>מדינת ישראל נ' כנפו ואח'</CaseName>
        <FullAddress>רח' ברקת 3 נתניה </FullAddress>
        <EmailAddress>f2m_025085139@molsa.gov.il</EmailAddress>
        <MotionID>0</MotionID>
        <CasePleaID>0</CasePleaID>
        <LinkedCaseID>0</LinkedCaseID>
        <PartyID>1</PartyID>
        <CasePartyCategoryID>2</CasePartyCategoryID>
        <LegalEntityAddressID>16112117</LegalEntityAddressID>
        <LegalEntityEmailAddressID>67904632</LegalEntityEmailAddressID>
        <PleaTypeID>8</PleaTypeID>
        <GroupPartyAlias/>
        <IsConverted>false</IsConverted>
        <LegalEntityRegisteredNameID>335194</LegalEntityRegisteredNameID>
        <RepresentatedNamesOfAssistant/>
        <LegalEntityTypeID>3</LegalEntityTypeID>
        <IsVerdictExists>false</IsVerdictExists>
        <IsAsirAzir>false</IsAsirAzir>
        <IsPublicationProhibited>false</IsPublicationProhibited>
        <PublicationProhibitedFullName>שרות מבחן למבוגרים - נתניה</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ת"א והמרכז</FullName>
        <LastName>שרות מבחן למבוגרים - מחוז ת"א והמרכז</LastName>
        <PartyPropertyName/>
        <AuthenticationTypeAndNumber>משרדי ממשלה 570001557</AuthenticationTypeAndNumber>
        <RepresentatedOrRepresentativesNames/>
        <RepresentatedOrRepresentativesCount>0</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250774271</CasePartyID>
        <PartyTypeID>3</PartyTypeID>
        <ActivityStatusID>1</ActivityStatusID>
        <LegalEntityID>70100683</LegalEntityID>
        <CaseLegalEntityID>122826733</CaseLegalEntityID>
        <AssistantRoleID>14</AssistantRoleID>
        <AuthenticationTypeID>13</AuthenticationTypeID>
        <AuthenticationTypeName>משרדי ממשלה</AuthenticationTypeName>
        <LegalEntityNumber>570001557</LegalEntityNumber>
        <IsMainPartyType>true</IsMainPartyType>
        <CaseDisplayIdentifier>30409-05-22</CaseDisplayIdentifier>
        <CaseTypeID>10048</CaseTypeID>
        <CaseTypeName>תיק פלילי (ת"פ)</CaseTypeName>
        <CaseName>מדינת ישראל נ' כנפו ואח'</CaseName>
        <FullAddress>שד' ירושלים 22 תל אביב -יפו </FullAddress>
        <EmailAddress>f2m_025085485@molsa.gov.il</EmailAddress>
        <MotionID>0</MotionID>
        <CasePleaID>0</CasePleaID>
        <LinkedCaseID>0</LinkedCaseID>
        <PartyID>1</PartyID>
        <CasePartyCategoryID>2</CasePartyCategoryID>
        <LegalEntityAddressID>72877119</LegalEntityAddressID>
        <LegalEntityEmailAddressID>67904630</LegalEntityEmailAddressID>
        <PleaTypeID>8</PleaTypeID>
        <GroupPartyAlias/>
        <IsConverted>false</IsConverted>
        <LegalEntityRegisteredNameID>2475567</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ת"א והמרכז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איתן און</FullName>
        <FirstName>איתן</FirstName>
        <LastName>און</LastName>
        <PartyPropertyName/>
        <AuthenticationTypeAndNumber>מ.ר. 27278</AuthenticationTypeAndNumber>
        <RepresentatedOrRepresentativesNames>אשר כנפו, יותם כרמל אשכנזי</RepresentatedOrRepresentativesNames>
        <RepresentatedOrRepresentativesCount>2</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241074369</CasePartyID>
        <PartyTypeID>2</PartyTypeID>
        <ActivityStatusID>1</ActivityStatusID>
        <PartyAliasID>32</PartyAliasID>
        <PartyAliasName>בא כוח נאשמים</PartyAliasName>
        <LegalEntityID>389253</LegalEntityID>
        <CaseLegalEntityID>119787501</CaseLegalEntityID>
        <AuthenticationTypeID>4</AuthenticationTypeID>
        <AuthenticationTypeName>מ.ר.</AuthenticationTypeName>
        <LegalEntityNumber>27278</LegalEntityNumber>
        <IsMainPartyType>true</IsMainPartyType>
        <CaseDisplayIdentifier>30409-05-22</CaseDisplayIdentifier>
        <CaseTypeID>10048</CaseTypeID>
        <CaseTypeName>תיק פלילי (ת"פ)</CaseTypeName>
        <CaseName>מדינת ישראל נ' כנפו ואח'</CaseName>
        <FullAddress>ברקוביץ 4 תל אביב -יפו קומה 6</FullAddress>
        <EmailAddress>eonn.law@gmail.com</EmailAddress>
        <MotionID>0</MotionID>
        <CasePleaID>0</CasePleaID>
        <FatherName xml:space="preserve">        </FatherName>
        <LinkedCaseID>0</LinkedCaseID>
        <PartyID>2</PartyID>
        <CasePartyCategoryID>2</CasePartyCategoryID>
        <LegalEntityAddressID>79413804</LegalEntityAddressID>
        <LegalEntityEmailAddressID>67902721</LegalEntityEmailAddressID>
        <PleaTypeID>8</PleaTypeID>
        <LawyerOfficeName>משרד עו"ד: איתן און</LawyerOfficeName>
        <LawyerOfficeID>429897</LawyerOfficeID>
        <GroupPartyAlias/>
        <IsConverted>false</IsConverted>
        <LegalEntityNameID>10237</LegalEntityNameID>
        <RepresentatedNamesOfAssistant/>
        <LegalEntityTypeID>4</LegalEntityTypeID>
        <IsVerdictExists>false</IsVerdictExists>
        <IsAsirAzir>false</IsAsirAzir>
        <IsPublicationProhibited>false</IsPublicationProhibited>
        <PublicationProhibitedFullName>איתן און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לירן אוחיון</RepresentatedOrRepresentativesNames>
        <RepresentatedOrRepresentativesCount>1</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241018044</CasePartyID>
        <PartyTypeID>1</PartyTypeID>
        <ActivityStatusID>1</ActivityStatusID>
        <PartyAliasID>11</PartyAliasID>
        <PartyAliasName>מאשימה</PartyAliasName>
        <OrdinalNumber>1</OrdinalNumber>
        <LegalEntityID>4</LegalEntityID>
        <CaseLegalEntityID>119771741</CaseLegalEntityID>
        <AuthenticationTypeID>41</AuthenticationTypeID>
        <AuthenticationTypeName>מדינת ישראל </AuthenticationTypeName>
        <LegalEntityNumber/>
        <IsMainPartyType>true</IsMainPartyType>
        <CaseDisplayIdentifier>30409-05-22</CaseDisplayIdentifier>
        <CaseTypeID>10048</CaseTypeID>
        <CaseTypeName>תיק פלילי (ת"פ)</CaseTypeName>
        <CaseName>מדינת ישראל נ' כנפו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לירן אוחיון</FullName>
        <FirstName>לירן</FirstName>
        <LastName>אוחיון</LastName>
        <PartyPropertyName/>
        <AuthenticationTypeAndNumber>מ.ר. 57860</AuthenticationTypeAndNumber>
        <RepresentatedOrRepresentativesNames xml:space="preserve"> </RepresentatedOrRepresentativesNames>
        <RepresentatedOrRepresentativesCount>1</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241018045</CasePartyID>
        <PartyTypeID>2</PartyTypeID>
        <ActivityStatusID>1</ActivityStatusID>
        <PartyAliasID>30</PartyAliasID>
        <PartyAliasName>בא כוח מאשימה</PartyAliasName>
        <OrdinalNumber>1</OrdinalNumber>
        <LegalEntityID>79217788</LegalEntityID>
        <CaseLegalEntityID>119771742</CaseLegalEntityID>
        <AuthenticationTypeID>4</AuthenticationTypeID>
        <AuthenticationTypeName>מ.ר.</AuthenticationTypeName>
        <LegalEntityNumber>57860</LegalEntityNumber>
        <IsMainPartyType>true</IsMainPartyType>
        <CaseDisplayIdentifier>30409-05-22</CaseDisplayIdentifier>
        <CaseTypeID>10048</CaseTypeID>
        <CaseTypeName>תיק פלילי (ת"פ)</CaseTypeName>
        <CaseName>מדינת ישראל נ' כנפו ואח'</CaseName>
        <FullAddress>ברקת 3 נתניה </FullAddress>
        <MotionID>0</MotionID>
        <CasePleaID>0</CasePleaID>
        <LinkedCaseID>0</LinkedCaseID>
        <PartyID>1</PartyID>
        <CasePartyCategoryID>2</CasePartyCategoryID>
        <LegalEntityAddressID>15960328</LegalEntityAddressID>
        <PleaTypeID>8</PleaTypeID>
        <LawyerOfficeName>משטרה - תביעות מחוז מרכז - נתניה</LawyerOfficeName>
        <LawyerOfficeID>15792549</LawyerOfficeID>
        <GroupPartyAlias/>
        <IsConverted>false</IsConverted>
        <LegalEntityNameID>90183326</LegalEntityNameID>
        <RepresentatedNamesOfAssistant/>
        <LegalEntityTypeID>4</LegalEntityTypeID>
        <IsVerdictExists>false</IsVerdictExists>
        <IsAsirAzir>false</IsAsirAzir>
        <IsPublicationProhibited>false</IsPublicationProhibited>
        <PublicationProhibitedFullName>לירן אוחיון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אשר כנפו</FullName>
        <FirstName>אשר</FirstName>
        <LastName>כנפו</LastName>
        <PartyPropertyName/>
        <AuthenticationTypeAndNumber>ת"ז 059113100</AuthenticationTypeAndNumber>
        <RepresentatedOrRepresentativesNames>איתן און</RepresentatedOrRepresentativesNames>
        <RepresentatedOrRepresentativesCount>1</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241018046</CasePartyID>
        <PartyTypeID>1</PartyTypeID>
        <ActivityStatusID>1</ActivityStatusID>
        <PartyAliasID>13</PartyAliasID>
        <PartyAliasName>נאשם</PartyAliasName>
        <OrdinalNumber>1</OrdinalNumber>
        <LegalEntityID>7585282</LegalEntityID>
        <CaseLegalEntityID>119771743</CaseLegalEntityID>
        <AuthenticationTypeID>1</AuthenticationTypeID>
        <AuthenticationTypeName>ת"ז</AuthenticationTypeName>
        <LegalEntityNumber>059113100</LegalEntityNumber>
        <IsMainPartyType>true</IsMainPartyType>
        <CaseDisplayIdentifier>30409-05-22</CaseDisplayIdentifier>
        <CaseTypeID>10048</CaseTypeID>
        <CaseTypeName>תיק פלילי (ת"פ)</CaseTypeName>
        <CaseName>מדינת ישראל נ' כנפו ואח'</CaseName>
        <FullAddress>.  גרנות הגליל</FullAddress>
        <MotionID>0</MotionID>
        <CasePleaID>0</CasePleaID>
        <BirthDate>1965-01-19T00:00:00+02:00</BirthDate>
        <FatherName>דוד     </FatherName>
        <LinkedCaseID>0</LinkedCaseID>
        <PartyID>2</PartyID>
        <CasePartyCategoryID>2</CasePartyCategoryID>
        <LegalEntityAddressID>86509989</LegalEntityAddressID>
        <PleaTypeID>8</PleaTypeID>
        <GroupPartyAlias>נאשמים</GroupPartyAlias>
        <IsConverted>false</IsConverted>
        <LegalEntityRegisteredNameID>426917</LegalEntityRegisteredNameID>
        <LegalEntityNameID>93110558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אשר כנפו</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יותם כרמל אשכנזי</FullName>
        <FirstName>יותם</FirstName>
        <LastName>כרמל אשכנזי</LastName>
        <PartyPropertyName/>
        <AuthenticationTypeAndNumber>ת"ז 308058700</AuthenticationTypeAndNumber>
        <RepresentatedOrRepresentativesNames>איתן און</RepresentatedOrRepresentativesNames>
        <RepresentatedOrRepresentativesCount>1</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241018047</CasePartyID>
        <PartyTypeID>1</PartyTypeID>
        <ActivityStatusID>1</ActivityStatusID>
        <PartyAliasID>13</PartyAliasID>
        <PartyAliasName>נאשם</PartyAliasName>
        <OrdinalNumber>2</OrdinalNumber>
        <LegalEntityID>3486959</LegalEntityID>
        <CaseLegalEntityID>119771744</CaseLegalEntityID>
        <AuthenticationTypeID>1</AuthenticationTypeID>
        <AuthenticationTypeName>ת"ז</AuthenticationTypeName>
        <LegalEntityNumber>308058700</LegalEntityNumber>
        <IsMainPartyType>true</IsMainPartyType>
        <CaseDisplayIdentifier>30409-05-22</CaseDisplayIdentifier>
        <CaseTypeID>10048</CaseTypeID>
        <CaseTypeName>תיק פלילי (ת"פ)</CaseTypeName>
        <CaseName>מדינת ישראל נ' כנפו ואח'</CaseName>
        <FullAddress>רות 21 פתח תקווה </FullAddress>
        <MotionID>0</MotionID>
        <CasePleaID>0</CasePleaID>
        <BirthDate>1991-12-18T00:00:00+02:00</BirthDate>
        <FatherName>רון</FatherName>
        <LinkedCaseID>0</LinkedCaseID>
        <PartyID>2</PartyID>
        <CasePartyCategoryID>2</CasePartyCategoryID>
        <LegalEntityAddressID>86509990</LegalEntityAddressID>
        <GrandfatherName/>
        <DrivingLicenseNumber>9263874</DrivingLicenseNumber>
        <PleaTypeID>8</PleaTypeID>
        <GroupPartyAlias>נאשמים</GroupPartyAlias>
        <IsConverted>false</IsConverted>
        <LegalEntityRegisteredNameID>4827604</LegalEntityRegisteredNameID>
        <LegalEntityNameID>93110559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יותם כרמל אשכנזי</PublicationProhibitedFullName>
      </CaseParties>
    </CasePartiesSelectionDS>
    <DecisionName>גזר דין  שניתנה ע"י  גיא אבנון</DecisionName>
    <CourtDisplayName>בית משפט השלום בנתניה</CourtDisplayName>
    <IsCaseJudgePanel>false</IsCaseJudgePanel>
    <DecisionSignatureDate>2024-04-28T13:53:59.5454116+03:00</DecisionSignatureDate>
    <OpenCaseDate>2022-05-15T13:33:00+03:00</OpenCaseDate>
    <ExternalCaseNumber>214809/2022</ExternalCaseNumber>
    <DecisionTypeID>4</DecisionTypeID>
    <DecisionSignatureUserName>גיא אבנון</DecisionSignatureUserName>
    <DecisionSignatureDateHebrew>2024-04-28T13:53:59.5454116+03:00</DecisionSignatureDateHebrew>
    <DecisionWriterID>029377454@GOV.IL</DecisionWriterID>
    <CourtAddress>רח' הרצל  57, נתניה 42390</CourtAddress>
    <IsAutoTextInCaseExist>false</IsAutoTextInCaseExist>
    <DecisionSignatureRoleName>שופט</DecisionSignatureRoleName>
    <DecisionSignatureUserTitleName>שופט</DecisionSignatureUserTitleName>
    <CaseName>מדינת ישראל נ' כנפו ואח'</CaseName>
    <DecisionNumberInCase>14</DecisionNumberInCase>
  </dt_Decision>
  <dt_DecisionCase>
    <DecisionID>0</DecisionID>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אחר</RoleName>
        <IsSubProceeding>FALSE</IsSubProceeding>
        <FullName>האפוטרופוס הכללי - הקרן למלחמה בסמים</FullName>
        <LastName>האפוטרופוס הכללי - הקרן למלחמה בסמים</LastName>
        <PartyPropertyName/>
        <AuthenticationTypeAndNumber>משרדי ממשלה 500106269</AuthenticationTypeAndNumber>
        <RepresentatedOrRepresentativesNames/>
        <RepresentatedOrRepresentativesCount>0</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241018958</CasePartyID>
        <PartyTypeID>3</PartyTypeID>
        <ActivityStatusID>1</ActivityStatusID>
        <LegalEntityID>2116367</LegalEntityID>
        <CaseLegalEntityID>119771957</CaseLegalEntityID>
        <AssistantRoleID>33</AssistantRoleID>
        <AuthenticationTypeID>13</AuthenticationTypeID>
        <AuthenticationTypeName>משרדי ממשלה</AuthenticationTypeName>
        <LegalEntityNumber>500106269</LegalEntityNumber>
        <IsMainPartyType>true</IsMainPartyType>
        <CaseDisplayIdentifier>30409-05-22</CaseDisplayIdentifier>
        <CaseTypeID>10048</CaseTypeID>
        <CaseTypeName>תיק פלילי (ת"פ)</CaseTypeName>
        <CaseName>מדינת ישראל נ' כנפו ואח'</CaseName>
        <FullAddress>יפו 216 ירושלים בית שערי העיר</FullAddress>
        <EmailAddress>Asset.Forfeiture.Uni@justice.gov.il</EmailAddress>
        <MotionID>0</MotionID>
        <CasePleaID>0</CasePleaID>
        <LinkedCaseID>0</LinkedCaseID>
        <PartyID>1</PartyID>
        <CasePartyCategoryID>2</CasePartyCategoryID>
        <LegalEntityAddressID>33497233</LegalEntityAddressID>
        <LegalEntityEmailAddressID>67985771</LegalEntityEmailAddressID>
        <PleaTypeID>8</PleaTypeID>
        <GroupPartyAlias/>
        <IsConverted>false</IsConverted>
        <LegalEntityRegisteredNameID>335034</LegalEntityRegisteredNameID>
        <RepresentatedNamesOfAssistant/>
        <LegalEntityTypeID>3</LegalEntityTypeID>
        <IsVerdictExists>false</IsVerdictExists>
        <IsAsirAzir>false</IsAsirAzir>
        <IsPublicationProhibited>false</IsPublicationProhibited>
        <PublicationProhibitedFullName>האפוטרופוס הכללי - הקרן למלחמה בסמים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243562601</CasePartyID>
        <PartyTypeID>3</PartyTypeID>
        <ActivityStatusID>1</ActivityStatusID>
        <LegalEntityID>7551403</LegalEntityID>
        <CaseLegalEntityID>120532761</CaseLegalEntityID>
        <AssistantRoleID>13</AssistantRoleID>
        <AuthenticationTypeID>13</AuthenticationTypeID>
        <AuthenticationTypeName>משרדי ממשלה</AuthenticationTypeName>
        <LegalEntityNumber>513442041</LegalEntityNumber>
        <IsMainPartyType>true</IsMainPartyType>
        <CaseDisplayIdentifier>30409-05-22</CaseDisplayIdentifier>
        <CaseTypeID>10048</CaseTypeID>
        <CaseTypeName>תיק פלילי (ת"פ)</CaseTypeName>
        <CaseName>מדינת ישראל נ' כנפו ואח'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נתניה</FullName>
        <LastName>שרות מבחן למבוגרים - נתניה</LastName>
        <PartyPropertyName/>
        <AuthenticationTypeAndNumber>משרדי ממשלה 500106280</AuthenticationTypeAndNumber>
        <RepresentatedOrRepresentativesNames/>
        <RepresentatedOrRepresentativesCount>0</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250774219</CasePartyID>
        <PartyTypeID>3</PartyTypeID>
        <ActivityStatusID>1</ActivityStatusID>
        <LegalEntityID>2116703</LegalEntityID>
        <CaseLegalEntityID>122826729</CaseLegalEntityID>
        <AssistantRoleID>14</AssistantRoleID>
        <AuthenticationTypeID>13</AuthenticationTypeID>
        <AuthenticationTypeName>משרדי ממשלה</AuthenticationTypeName>
        <LegalEntityNumber>500106280</LegalEntityNumber>
        <IsMainPartyType>true</IsMainPartyType>
        <CaseDisplayIdentifier>30409-05-22</CaseDisplayIdentifier>
        <CaseTypeID>10048</CaseTypeID>
        <CaseTypeName>תיק פלילי (ת"פ)</CaseTypeName>
        <CaseName>מדינת ישראל נ' כנפו ואח'</CaseName>
        <FullAddress>רח' ברקת 3 נתניה </FullAddress>
        <EmailAddress>f2m_025085139@molsa.gov.il</EmailAddress>
        <MotionID>0</MotionID>
        <CasePleaID>0</CasePleaID>
        <LinkedCaseID>0</LinkedCaseID>
        <PartyID>1</PartyID>
        <CasePartyCategoryID>2</CasePartyCategoryID>
        <LegalEntityAddressID>16112117</LegalEntityAddressID>
        <LegalEntityEmailAddressID>67904632</LegalEntityEmailAddressID>
        <PleaTypeID>8</PleaTypeID>
        <GroupPartyAlias/>
        <IsConverted>false</IsConverted>
        <LegalEntityRegisteredNameID>335194</LegalEntityRegisteredNameID>
        <RepresentatedNamesOfAssistant/>
        <LegalEntityTypeID>3</LegalEntityTypeID>
        <IsVerdictExists>false</IsVerdictExists>
        <IsAsirAzir>false</IsAsirAzir>
        <IsPublicationProhibited>false</IsPublicationProhibited>
        <PublicationProhibitedFullName>שרות מבחן למבוגרים - נתניה</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ת"א והמרכז</FullName>
        <LastName>שרות מבחן למבוגרים - מחוז ת"א והמרכז</LastName>
        <PartyPropertyName/>
        <AuthenticationTypeAndNumber>משרדי ממשלה 570001557</AuthenticationTypeAndNumber>
        <RepresentatedOrRepresentativesNames/>
        <RepresentatedOrRepresentativesCount>0</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250774271</CasePartyID>
        <PartyTypeID>3</PartyTypeID>
        <ActivityStatusID>1</ActivityStatusID>
        <LegalEntityID>70100683</LegalEntityID>
        <CaseLegalEntityID>122826733</CaseLegalEntityID>
        <AssistantRoleID>14</AssistantRoleID>
        <AuthenticationTypeID>13</AuthenticationTypeID>
        <AuthenticationTypeName>משרדי ממשלה</AuthenticationTypeName>
        <LegalEntityNumber>570001557</LegalEntityNumber>
        <IsMainPartyType>true</IsMainPartyType>
        <CaseDisplayIdentifier>30409-05-22</CaseDisplayIdentifier>
        <CaseTypeID>10048</CaseTypeID>
        <CaseTypeName>תיק פלילי (ת"פ)</CaseTypeName>
        <CaseName>מדינת ישראל נ' כנפו ואח'</CaseName>
        <FullAddress>שד' ירושלים 22 תל אביב -יפו </FullAddress>
        <EmailAddress>f2m_025085485@molsa.gov.il</EmailAddress>
        <MotionID>0</MotionID>
        <CasePleaID>0</CasePleaID>
        <LinkedCaseID>0</LinkedCaseID>
        <PartyID>1</PartyID>
        <CasePartyCategoryID>2</CasePartyCategoryID>
        <LegalEntityAddressID>72877119</LegalEntityAddressID>
        <LegalEntityEmailAddressID>67904630</LegalEntityEmailAddressID>
        <PleaTypeID>8</PleaTypeID>
        <GroupPartyAlias/>
        <IsConverted>false</IsConverted>
        <LegalEntityRegisteredNameID>2475567</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ת"א והמרכז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איתן און</FullName>
        <FirstName>איתן</FirstName>
        <LastName>און</LastName>
        <PartyPropertyName/>
        <AuthenticationTypeAndNumber>מ.ר. 27278</AuthenticationTypeAndNumber>
        <RepresentatedOrRepresentativesNames>אשר כנפו, יותם כרמל אשכנזי</RepresentatedOrRepresentativesNames>
        <RepresentatedOrRepresentativesCount>2</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241074369</CasePartyID>
        <PartyTypeID>2</PartyTypeID>
        <ActivityStatusID>1</ActivityStatusID>
        <PartyAliasID>32</PartyAliasID>
        <PartyAliasName>בא כוח נאשמים</PartyAliasName>
        <LegalEntityID>389253</LegalEntityID>
        <CaseLegalEntityID>119787501</CaseLegalEntityID>
        <AuthenticationTypeID>4</AuthenticationTypeID>
        <AuthenticationTypeName>מ.ר.</AuthenticationTypeName>
        <LegalEntityNumber>27278</LegalEntityNumber>
        <IsMainPartyType>true</IsMainPartyType>
        <CaseDisplayIdentifier>30409-05-22</CaseDisplayIdentifier>
        <CaseTypeID>10048</CaseTypeID>
        <CaseTypeName>תיק פלילי (ת"פ)</CaseTypeName>
        <CaseName>מדינת ישראל נ' כנפו ואח'</CaseName>
        <FullAddress>ברקוביץ 4 תל אביב -יפו קומה 6</FullAddress>
        <EmailAddress>eonn.law@gmail.com</EmailAddress>
        <MotionID>0</MotionID>
        <CasePleaID>0</CasePleaID>
        <FatherName xml:space="preserve">        </FatherName>
        <LinkedCaseID>0</LinkedCaseID>
        <PartyID>2</PartyID>
        <CasePartyCategoryID>2</CasePartyCategoryID>
        <LegalEntityAddressID>79413804</LegalEntityAddressID>
        <LegalEntityEmailAddressID>67902721</LegalEntityEmailAddressID>
        <PleaTypeID>8</PleaTypeID>
        <LawyerOfficeName>משרד עו"ד: איתן און</LawyerOfficeName>
        <LawyerOfficeID>429897</LawyerOfficeID>
        <GroupPartyAlias/>
        <IsConverted>false</IsConverted>
        <LegalEntityNameID>10237</LegalEntityNameID>
        <RepresentatedNamesOfAssistant/>
        <LegalEntityTypeID>4</LegalEntityTypeID>
        <IsVerdictExists>false</IsVerdictExists>
        <IsAsirAzir>false</IsAsirAzir>
        <IsPublicationProhibited>false</IsPublicationProhibited>
        <PublicationProhibitedFullName>איתן און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לירן אוחיון</RepresentatedOrRepresentativesNames>
        <RepresentatedOrRepresentativesCount>1</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241018044</CasePartyID>
        <PartyTypeID>1</PartyTypeID>
        <ActivityStatusID>1</ActivityStatusID>
        <PartyAliasID>11</PartyAliasID>
        <PartyAliasName>מאשימה</PartyAliasName>
        <OrdinalNumber>1</OrdinalNumber>
        <LegalEntityID>4</LegalEntityID>
        <CaseLegalEntityID>119771741</CaseLegalEntityID>
        <AuthenticationTypeID>41</AuthenticationTypeID>
        <AuthenticationTypeName>מדינת ישראל </AuthenticationTypeName>
        <LegalEntityNumber/>
        <IsMainPartyType>true</IsMainPartyType>
        <CaseDisplayIdentifier>30409-05-22</CaseDisplayIdentifier>
        <CaseTypeID>10048</CaseTypeID>
        <CaseTypeName>תיק פלילי (ת"פ)</CaseTypeName>
        <CaseName>מדינת ישראל נ' כנפו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לירן אוחיון</FullName>
        <FirstName>לירן</FirstName>
        <LastName>אוחיון</LastName>
        <PartyPropertyName/>
        <AuthenticationTypeAndNumber>מ.ר. 57860</AuthenticationTypeAndNumber>
        <RepresentatedOrRepresentativesNames xml:space="preserve"> </RepresentatedOrRepresentativesNames>
        <RepresentatedOrRepresentativesCount>1</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241018045</CasePartyID>
        <PartyTypeID>2</PartyTypeID>
        <ActivityStatusID>1</ActivityStatusID>
        <PartyAliasID>30</PartyAliasID>
        <PartyAliasName>בא כוח מאשימה</PartyAliasName>
        <OrdinalNumber>1</OrdinalNumber>
        <LegalEntityID>79217788</LegalEntityID>
        <CaseLegalEntityID>119771742</CaseLegalEntityID>
        <AuthenticationTypeID>4</AuthenticationTypeID>
        <AuthenticationTypeName>מ.ר.</AuthenticationTypeName>
        <LegalEntityNumber>57860</LegalEntityNumber>
        <IsMainPartyType>true</IsMainPartyType>
        <CaseDisplayIdentifier>30409-05-22</CaseDisplayIdentifier>
        <CaseTypeID>10048</CaseTypeID>
        <CaseTypeName>תיק פלילי (ת"פ)</CaseTypeName>
        <CaseName>מדינת ישראל נ' כנפו ואח'</CaseName>
        <FullAddress>ברקת 3 נתניה </FullAddress>
        <MotionID>0</MotionID>
        <CasePleaID>0</CasePleaID>
        <LinkedCaseID>0</LinkedCaseID>
        <PartyID>1</PartyID>
        <CasePartyCategoryID>2</CasePartyCategoryID>
        <LegalEntityAddressID>15960328</LegalEntityAddressID>
        <PleaTypeID>8</PleaTypeID>
        <LawyerOfficeName>משטרה - תביעות מחוז מרכז - נתניה</LawyerOfficeName>
        <LawyerOfficeID>15792549</LawyerOfficeID>
        <GroupPartyAlias/>
        <IsConverted>false</IsConverted>
        <LegalEntityNameID>90183326</LegalEntityNameID>
        <RepresentatedNamesOfAssistant/>
        <LegalEntityTypeID>4</LegalEntityTypeID>
        <IsVerdictExists>false</IsVerdictExists>
        <IsAsirAzir>false</IsAsirAzir>
        <IsPublicationProhibited>false</IsPublicationProhibited>
        <PublicationProhibitedFullName>לירן אוחיון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אשר כנפו</FullName>
        <FirstName>אשר</FirstName>
        <LastName>כנפו</LastName>
        <PartyPropertyName/>
        <AuthenticationTypeAndNumber>ת"ז 059113100</AuthenticationTypeAndNumber>
        <RepresentatedOrRepresentativesNames>איתן און</RepresentatedOrRepresentativesNames>
        <RepresentatedOrRepresentativesCount>1</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241018046</CasePartyID>
        <PartyTypeID>1</PartyTypeID>
        <ActivityStatusID>1</ActivityStatusID>
        <PartyAliasID>13</PartyAliasID>
        <PartyAliasName>נאשם</PartyAliasName>
        <OrdinalNumber>1</OrdinalNumber>
        <LegalEntityID>7585282</LegalEntityID>
        <CaseLegalEntityID>119771743</CaseLegalEntityID>
        <AuthenticationTypeID>1</AuthenticationTypeID>
        <AuthenticationTypeName>ת"ז</AuthenticationTypeName>
        <LegalEntityNumber>059113100</LegalEntityNumber>
        <IsMainPartyType>true</IsMainPartyType>
        <CaseDisplayIdentifier>30409-05-22</CaseDisplayIdentifier>
        <CaseTypeID>10048</CaseTypeID>
        <CaseTypeName>תיק פלילי (ת"פ)</CaseTypeName>
        <CaseName>מדינת ישראל נ' כנפו ואח'</CaseName>
        <FullAddress>.  גרנות הגליל</FullAddress>
        <MotionID>0</MotionID>
        <CasePleaID>0</CasePleaID>
        <BirthDate>1965-01-19T00:00:00+02:00</BirthDate>
        <FatherName>דוד     </FatherName>
        <LinkedCaseID>0</LinkedCaseID>
        <PartyID>2</PartyID>
        <CasePartyCategoryID>2</CasePartyCategoryID>
        <LegalEntityAddressID>86509989</LegalEntityAddressID>
        <PleaTypeID>8</PleaTypeID>
        <GroupPartyAlias>נאשמים</GroupPartyAlias>
        <IsConverted>false</IsConverted>
        <LegalEntityRegisteredNameID>426917</LegalEntityRegisteredNameID>
        <LegalEntityNameID>93110558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אשר כנפו</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יותם כרמל אשכנזי</FullName>
        <FirstName>יותם</FirstName>
        <LastName>כרמל אשכנזי</LastName>
        <PartyPropertyName/>
        <AuthenticationTypeAndNumber>ת"ז 308058700</AuthenticationTypeAndNumber>
        <RepresentatedOrRepresentativesNames>איתן און</RepresentatedOrRepresentativesNames>
        <RepresentatedOrRepresentativesCount>1</RepresentatedOrRepresentativesCount>
        <InvitedBy/>
        <CaseID>79277142</CaseID>
        <CaseJudicialPersonPresentationDS>
          <CaseJudicalPersonActive>
            <CaseID>79277142</CaseID>
            <JudicialPersonID>029377454@GOV.IL</JudicialPersonID>
            <JudicialPersonTypeID>1</JudicialPersonTypeID>
            <JudicialTypeID>1</JudicialTypeID>
            <IsChairman>false</IsChairman>
            <TreatmentStartDate>2022-05-16T14:02:15.233+03:00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241018047</CasePartyID>
        <PartyTypeID>1</PartyTypeID>
        <ActivityStatusID>1</ActivityStatusID>
        <PartyAliasID>13</PartyAliasID>
        <PartyAliasName>נאשם</PartyAliasName>
        <OrdinalNumber>2</OrdinalNumber>
        <LegalEntityID>3486959</LegalEntityID>
        <CaseLegalEntityID>119771744</CaseLegalEntityID>
        <AuthenticationTypeID>1</AuthenticationTypeID>
        <AuthenticationTypeName>ת"ז</AuthenticationTypeName>
        <LegalEntityNumber>308058700</LegalEntityNumber>
        <IsMainPartyType>true</IsMainPartyType>
        <CaseDisplayIdentifier>30409-05-22</CaseDisplayIdentifier>
        <CaseTypeID>10048</CaseTypeID>
        <CaseTypeName>תיק פלילי (ת"פ)</CaseTypeName>
        <CaseName>מדינת ישראל נ' כנפו ואח'</CaseName>
        <FullAddress>רות 21 פתח תקווה </FullAddress>
        <MotionID>0</MotionID>
        <CasePleaID>0</CasePleaID>
        <BirthDate>1991-12-18T00:00:00+02:00</BirthDate>
        <FatherName>רון</FatherName>
        <LinkedCaseID>0</LinkedCaseID>
        <PartyID>2</PartyID>
        <CasePartyCategoryID>2</CasePartyCategoryID>
        <LegalEntityAddressID>86509990</LegalEntityAddressID>
        <GrandfatherName/>
        <DrivingLicenseNumber>9263874</DrivingLicenseNumber>
        <PleaTypeID>8</PleaTypeID>
        <GroupPartyAlias>נאשמים</GroupPartyAlias>
        <IsConverted>false</IsConverted>
        <LegalEntityRegisteredNameID>4827604</LegalEntityRegisteredNameID>
        <LegalEntityNameID>93110559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יותם כרמל אשכנזי</PublicationProhibitedFullName>
      </CaseParties>
    </CasePartiesSelectionDS>
    <CaseName>מדינת ישראל נ' כנפו ואח'</CaseName>
    <CaseDisplayIdentifier>30409-05-22</CaseDisplayIdentifier>
    <CaseTypeShortName>ת"פ</CaseTypeShortName>
  </dt_DecisionCase>
  <dt_DecisionJudgePanel>
    <JudgeID>029377454@GOV.IL</JudgeID>
    <DisplayName>גיא אבנון</DisplayName>
    <RoleName>שופט</RoleName>
    <UserTitleName>שופט</UserTitleName>
  </dt_DecisionJudgePanel>
  <dt_LegalEntityDetails>
    <Fax>073-7935846</Fax>
    <Phone/>
    <AddressDesc>בית שערי העיר</AddressDesc>
    <PartyID>1</PartyID>
    <PartyTypeID>3</PartyTypeID>
    <DecisionID>0</DecisionID>
    <AssistantRoleID>33</AssistantRoleID>
    <StreetName>יפו 216</StreetName>
    <ZipCode>92428</ZipCode>
    <CityName>ירושלים</CityName>
    <FullName> האפוטרופוס הכללי - הקרן למלחמה בסמים</FullName>
    <Email>Asset.Forfeiture.Uni@justice.gov.il</Email>
    <IsPublicationProhibited>false</IsPublicationProhibited>
  </dt_LegalEntityDetails>
  <dt_LegalEntityDetails>
    <Fax>03-7405540</Fax>
    <Phone>054-4975401</Phone>
    <AddressDesc>קומה 6</AddressDesc>
    <PartyID>2</PartyID>
    <PartyTypeID>2</PartyTypeID>
    <DecisionID>0</DecisionID>
    <StreetName>ברקוביץ 4</StreetName>
    <ZipCode>64238</ZipCode>
    <CityName>תל אביב -יפו</CityName>
    <FullName>איתן און</FullName>
    <Email>eonn.law@gmail.com</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Fax>02-5085139</Fax>
    <Phone>09-8339586</Phone>
    <AddressDesc/>
    <PartyID>1</PartyID>
    <PartyTypeID>3</PartyTypeID>
    <DecisionID>0</DecisionID>
    <AssistantRoleID>14</AssistantRoleID>
    <StreetName>רח' ברקת 3</StreetName>
    <ZipCode>42390</ZipCode>
    <CityName>נתניה</CityName>
    <FullName> שרות מבחן למבוגרים - נתניה</FullName>
    <Email>f2m_025085139@molsa.gov.il</Email>
    <IsPublicationProhibited>false</IsPublicationProhibited>
  </dt_LegalEntityDetails>
  <dt_LegalEntityDetails>
    <Fax>02-5085485</Fax>
    <Phone/>
    <AddressDesc/>
    <PartyID>1</PartyID>
    <PartyTypeID>3</PartyTypeID>
    <DecisionID>0</DecisionID>
    <AssistantRoleID>14</AssistantRoleID>
    <StreetName>שד' ירושלים 22</StreetName>
    <ZipCode>68022</ZipCode>
    <CityName>תל אביב -יפו</CityName>
    <FullName> שרות מבחן למבוגרים - מחוז ת"א והמרכז</FullName>
    <Email>f2m_025085485@molsa.gov.il</Email>
    <IsPublicationProhibited>false</IsPublicationProhibited>
  </dt_LegalEntityDetails>
  <dt_LegalEntityDetails>
    <PartyID>1</PartyID>
    <PartyTypeID>1</PartyTypeID>
    <DecisionID>0</DecisionID>
    <IsPublicationProhibited>false</IsPublicationProhibited>
  </dt_LegalEntityDetails>
  <dt_LegalEntityDetails>
    <Fax>09-7697916</Fax>
    <Phone>09-8891601</Phone>
    <PartyID>1</PartyID>
    <PartyTypeID>2</PartyTypeID>
    <DecisionID>0</DecisionID>
    <StreetName>ברקת 3</StreetName>
    <CityName>נתניה</CityName>
    <FullName>לירן אוחיון</FullName>
    <IsPublicationProhibited>false</IsPublicationProhibited>
  </dt_LegalEntityDetails>
  <dt_LegalEntityDetails>
    <AddressDesc>גרנות הגליל </AddressDesc>
    <PartyID>2</PartyID>
    <PartyTypeID>1</PartyTypeID>
    <DecisionID>0</DecisionID>
    <StreetName>.</StreetName>
    <FullName>אשר  כנפו </FullName>
    <IsPublicationProhibited>false</IsPublicationProhibited>
  </dt_LegalEntityDetails>
  <dt_LegalEntityDetails>
    <PartyID>2</PartyID>
    <PartyTypeID>1</PartyTypeID>
    <DecisionID>0</DecisionID>
    <StreetName>רות 21</StreetName>
    <CityName>פתח תקווה</CityName>
    <FullName>יותם כרמל אשכנזי </FullName>
    <IsPublicationProhibited>false</IsPublicationProhibited>
  </dt_LegalEntityDetails>
  <dt_CaseJudicalPersonActive>
    <CaseJudicalPerson>שופט גיא אבנון</CaseJudicalPerson>
  </dt_CaseJudicalPersonActive>
  <dt_Sitting>
    <FutureSittingDate>2024-05-06T11:30:00+03:00</FutureSittingDate>
    <PreviousMeetingDate>2024-04-09T13:00:00+03:00</PreviousMeetingDate>
    <NextSittingTypeID>15</NextSittingTypeID>
    <PreviousSittingTypeID>12</PreviousSittingTypeID>
    <NextMeetingDisplayName>שופט גיא אבנון</NextMeetingDisplayName>
    <NextMeetingRoleName>שופט</NextMeetingRoleName>
    <NextMeetingUserTitleName>שופט</NextMeetingUserTitleName>
    <NextMeetingUserUPN>029377454@GOV.IL</NextMeetingUserUPN>
    <PreviousMeetingDisplayName>שופט גיא אבנון</PreviousMeetingDisplayName>
    <PreviousMeetingRoleName>שופט</PreviousMeetingRoleName>
    <PreviousMeetingUserTitleName>שופט</PreviousMeetingUserTitleName>
    <PreviousMeetingUserUPN>029377454@GOV.IL</PreviousMeetingUserUPN>
  </dt_Sitting>
</DecisionTemplateDS>
</file>

<file path=customXml/itemProps1.xml><?xml version="1.0" encoding="utf-8"?>
<ds:datastoreItem xmlns:ds="http://schemas.openxmlformats.org/officeDocument/2006/customXml" ds:itemID="{D5170775-BCDF-4A8C-AD28-937D05785C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5091</Words>
  <Characters>25458</Characters>
  <Application>Microsoft Office Word</Application>
  <DocSecurity>0</DocSecurity>
  <Lines>212</Lines>
  <Paragraphs>60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2024-04-29T14:31:00Z</cp:lastPrinted>
  <dcterms:created xsi:type="dcterms:W3CDTF">2024-05-07T07:19:00Z</dcterms:created>
  <dcterms:modified xsi:type="dcterms:W3CDTF">2024-05-07T07:19:00Z</dcterms:modified>
</cp:coreProperties>
</file>